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E8" w:rsidRDefault="007565E8" w:rsidP="007565E8">
      <w:pPr>
        <w:pStyle w:val="Titel"/>
      </w:pPr>
      <w:bookmarkStart w:id="0" w:name="_Toc513444698"/>
      <w:bookmarkStart w:id="1" w:name="_Toc513444845"/>
      <w:r>
        <w:rPr>
          <w:lang w:val="de-DE"/>
        </w:rPr>
        <w:br/>
      </w:r>
      <w:r>
        <w:rPr>
          <w:lang w:val="de-DE"/>
        </w:rPr>
        <w:br/>
      </w:r>
      <w:r>
        <w:rPr>
          <w:lang w:val="de-DE"/>
        </w:rPr>
        <w:br/>
      </w:r>
      <w:r>
        <w:rPr>
          <w:lang w:val="de-DE"/>
        </w:rPr>
        <w:br/>
      </w:r>
      <w:r>
        <w:t>Richtlinie</w:t>
      </w:r>
      <w:r>
        <w:rPr>
          <w:spacing w:val="-3"/>
        </w:rPr>
        <w:t xml:space="preserve"> </w:t>
      </w:r>
      <w:r>
        <w:t>des</w:t>
      </w:r>
      <w:r>
        <w:rPr>
          <w:spacing w:val="1"/>
        </w:rPr>
        <w:t xml:space="preserve"> </w:t>
      </w:r>
      <w:r>
        <w:t>Landes</w:t>
      </w:r>
      <w:r>
        <w:rPr>
          <w:spacing w:val="-1"/>
        </w:rPr>
        <w:t xml:space="preserve"> </w:t>
      </w:r>
      <w:r>
        <w:t>Tirol</w:t>
      </w:r>
    </w:p>
    <w:p w:rsidR="00C23111" w:rsidRPr="007565E8" w:rsidRDefault="007565E8" w:rsidP="007565E8">
      <w:pPr>
        <w:spacing w:before="47" w:line="218" w:lineRule="auto"/>
        <w:ind w:left="119" w:right="129"/>
        <w:rPr>
          <w:sz w:val="40"/>
        </w:rPr>
      </w:pPr>
      <w:r>
        <w:rPr>
          <w:sz w:val="40"/>
        </w:rPr>
        <w:t>über die Übernahme von Kosten für Aufwendungen, die</w:t>
      </w:r>
      <w:r>
        <w:rPr>
          <w:spacing w:val="-109"/>
          <w:sz w:val="40"/>
        </w:rPr>
        <w:t xml:space="preserve"> </w:t>
      </w:r>
      <w:r>
        <w:rPr>
          <w:sz w:val="40"/>
        </w:rPr>
        <w:t>im Rahmen der Koordinierung der Umsetzung des</w:t>
      </w:r>
      <w:r>
        <w:rPr>
          <w:spacing w:val="1"/>
          <w:sz w:val="40"/>
        </w:rPr>
        <w:t xml:space="preserve"> </w:t>
      </w:r>
      <w:r>
        <w:rPr>
          <w:sz w:val="40"/>
        </w:rPr>
        <w:t>Tiroler Aktionsplanes (TAP) im Jahr 2024 entstehen –</w:t>
      </w:r>
      <w:r>
        <w:rPr>
          <w:spacing w:val="1"/>
          <w:sz w:val="40"/>
        </w:rPr>
        <w:t xml:space="preserve"> </w:t>
      </w:r>
      <w:r>
        <w:rPr>
          <w:sz w:val="40"/>
        </w:rPr>
        <w:t>TAP-Richtlinie</w:t>
      </w:r>
      <w:r>
        <w:rPr>
          <w:spacing w:val="-1"/>
          <w:sz w:val="40"/>
        </w:rPr>
        <w:t xml:space="preserve"> </w:t>
      </w:r>
      <w:r>
        <w:rPr>
          <w:sz w:val="40"/>
        </w:rPr>
        <w:t>2024</w:t>
      </w:r>
      <w:r>
        <w:rPr>
          <w:noProof/>
          <w:lang w:eastAsia="de-AT"/>
        </w:rPr>
        <w:drawing>
          <wp:anchor distT="0" distB="0" distL="0" distR="0" simplePos="0" relativeHeight="251659264" behindDoc="1" locked="0" layoutInCell="1" allowOverlap="1" wp14:anchorId="1D9D7001" wp14:editId="5CAA4D8A">
            <wp:simplePos x="0" y="0"/>
            <wp:positionH relativeFrom="page">
              <wp:align>right</wp:align>
            </wp:positionH>
            <wp:positionV relativeFrom="page">
              <wp:posOffset>7620</wp:posOffset>
            </wp:positionV>
            <wp:extent cx="8477211" cy="11976630"/>
            <wp:effectExtent l="0" t="0" r="635" b="6350"/>
            <wp:wrapNone/>
            <wp:docPr id="1" name="image1.png"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477211" cy="11976630"/>
                    </a:xfrm>
                    <a:prstGeom prst="rect">
                      <a:avLst/>
                    </a:prstGeom>
                  </pic:spPr>
                </pic:pic>
              </a:graphicData>
            </a:graphic>
            <wp14:sizeRelH relativeFrom="margin">
              <wp14:pctWidth>0</wp14:pctWidth>
            </wp14:sizeRelH>
            <wp14:sizeRelV relativeFrom="margin">
              <wp14:pctHeight>0</wp14:pctHeight>
            </wp14:sizeRelV>
          </wp:anchor>
        </w:drawing>
      </w:r>
    </w:p>
    <w:p w:rsidR="00C23111" w:rsidRDefault="00C23111">
      <w:pPr>
        <w:rPr>
          <w:rFonts w:asciiTheme="majorHAnsi" w:eastAsiaTheme="majorEastAsia" w:hAnsiTheme="majorHAnsi" w:cstheme="majorBidi"/>
          <w:color w:val="2E74B5" w:themeColor="accent1" w:themeShade="BF"/>
          <w:sz w:val="32"/>
          <w:szCs w:val="32"/>
          <w:lang w:val="de-DE" w:eastAsia="de-AT"/>
        </w:rPr>
      </w:pPr>
      <w:r>
        <w:rPr>
          <w:lang w:val="de-DE"/>
        </w:rPr>
        <w:br w:type="page"/>
      </w:r>
    </w:p>
    <w:sdt>
      <w:sdtPr>
        <w:rPr>
          <w:lang w:val="de-DE"/>
        </w:rPr>
        <w:id w:val="-1377310237"/>
        <w:docPartObj>
          <w:docPartGallery w:val="Table of Contents"/>
          <w:docPartUnique/>
        </w:docPartObj>
      </w:sdtPr>
      <w:sdtEndPr>
        <w:rPr>
          <w:b/>
          <w:bCs/>
        </w:rPr>
      </w:sdtEndPr>
      <w:sdtContent>
        <w:p w:rsidR="007565E8" w:rsidRDefault="007565E8" w:rsidP="007565E8">
          <w:pPr>
            <w:spacing w:before="68"/>
            <w:ind w:left="546"/>
          </w:pPr>
          <w:r>
            <w:rPr>
              <w:b/>
            </w:rPr>
            <w:t>Fassung</w:t>
          </w:r>
          <w:r>
            <w:rPr>
              <w:b/>
              <w:spacing w:val="-3"/>
            </w:rPr>
            <w:t xml:space="preserve"> </w:t>
          </w:r>
          <w:r>
            <w:rPr>
              <w:b/>
            </w:rPr>
            <w:t>vom:</w:t>
          </w:r>
          <w:r>
            <w:rPr>
              <w:b/>
              <w:spacing w:val="-1"/>
            </w:rPr>
            <w:t xml:space="preserve"> </w:t>
          </w:r>
          <w:r>
            <w:t>03.04.2024</w:t>
          </w:r>
        </w:p>
        <w:p w:rsidR="007565E8" w:rsidRDefault="007565E8" w:rsidP="007565E8">
          <w:pPr>
            <w:spacing w:before="190"/>
            <w:ind w:left="546"/>
          </w:pPr>
          <w:r>
            <w:rPr>
              <w:b/>
            </w:rPr>
            <w:t>Für</w:t>
          </w:r>
          <w:r>
            <w:rPr>
              <w:b/>
              <w:spacing w:val="-3"/>
            </w:rPr>
            <w:t xml:space="preserve"> </w:t>
          </w:r>
          <w:r>
            <w:rPr>
              <w:b/>
            </w:rPr>
            <w:t>den</w:t>
          </w:r>
          <w:r>
            <w:rPr>
              <w:b/>
              <w:spacing w:val="-2"/>
            </w:rPr>
            <w:t xml:space="preserve"> </w:t>
          </w:r>
          <w:r>
            <w:rPr>
              <w:b/>
            </w:rPr>
            <w:t>Inhalt</w:t>
          </w:r>
          <w:r>
            <w:rPr>
              <w:b/>
              <w:spacing w:val="-3"/>
            </w:rPr>
            <w:t xml:space="preserve"> </w:t>
          </w:r>
          <w:r>
            <w:rPr>
              <w:b/>
            </w:rPr>
            <w:t>verantwortlich:</w:t>
          </w:r>
          <w:r>
            <w:rPr>
              <w:b/>
              <w:spacing w:val="1"/>
            </w:rPr>
            <w:t xml:space="preserve"> </w:t>
          </w:r>
          <w:r>
            <w:t>Abteilung</w:t>
          </w:r>
          <w:r>
            <w:rPr>
              <w:spacing w:val="-3"/>
            </w:rPr>
            <w:t xml:space="preserve"> </w:t>
          </w:r>
          <w:r>
            <w:t>Inklusion</w:t>
          </w:r>
          <w:r>
            <w:rPr>
              <w:spacing w:val="-3"/>
            </w:rPr>
            <w:t xml:space="preserve"> </w:t>
          </w:r>
          <w:r>
            <w:t>und</w:t>
          </w:r>
          <w:r>
            <w:rPr>
              <w:spacing w:val="-3"/>
            </w:rPr>
            <w:t xml:space="preserve"> </w:t>
          </w:r>
          <w:r>
            <w:t>Kinder-</w:t>
          </w:r>
          <w:r>
            <w:rPr>
              <w:spacing w:val="-1"/>
            </w:rPr>
            <w:t xml:space="preserve"> </w:t>
          </w:r>
          <w:r>
            <w:t>und</w:t>
          </w:r>
          <w:r>
            <w:rPr>
              <w:spacing w:val="-1"/>
            </w:rPr>
            <w:t xml:space="preserve"> </w:t>
          </w:r>
          <w:r>
            <w:t>Jugendhilfe</w:t>
          </w:r>
        </w:p>
        <w:p w:rsidR="007565E8" w:rsidRPr="007565E8" w:rsidRDefault="009B1BB8" w:rsidP="007565E8">
          <w:pPr>
            <w:pStyle w:val="Inhaltsverzeichnisberschrift"/>
            <w:rPr>
              <w:lang w:val="de-DE"/>
            </w:rPr>
          </w:pPr>
          <w:r w:rsidRPr="009B1BB8">
            <w:rPr>
              <w:rFonts w:ascii="Arial" w:hAnsi="Arial" w:cs="Arial"/>
              <w:color w:val="auto"/>
              <w:lang w:val="de-DE"/>
            </w:rPr>
            <w:t>Inhalt</w:t>
          </w:r>
        </w:p>
        <w:p w:rsidR="009B1BB8" w:rsidRPr="009B1BB8" w:rsidRDefault="009B1BB8">
          <w:pPr>
            <w:pStyle w:val="Verzeichnis1"/>
            <w:tabs>
              <w:tab w:val="right" w:leader="dot" w:pos="9062"/>
            </w:tabs>
            <w:rPr>
              <w:noProof/>
              <w:sz w:val="26"/>
              <w:szCs w:val="26"/>
            </w:rPr>
          </w:pPr>
          <w:r>
            <w:fldChar w:fldCharType="begin"/>
          </w:r>
          <w:r>
            <w:instrText xml:space="preserve"> TOC \o "1-3" \h \z \u </w:instrText>
          </w:r>
          <w:r>
            <w:fldChar w:fldCharType="separate"/>
          </w:r>
          <w:hyperlink w:anchor="_Toc163025269" w:history="1"/>
        </w:p>
        <w:p w:rsidR="009B1BB8" w:rsidRPr="009B1BB8" w:rsidRDefault="00626F8A">
          <w:pPr>
            <w:pStyle w:val="Verzeichnis2"/>
            <w:tabs>
              <w:tab w:val="right" w:leader="dot" w:pos="9062"/>
            </w:tabs>
            <w:rPr>
              <w:noProof/>
              <w:sz w:val="26"/>
              <w:szCs w:val="26"/>
            </w:rPr>
          </w:pPr>
          <w:hyperlink w:anchor="_Toc163025270" w:history="1">
            <w:r w:rsidR="009B1BB8" w:rsidRPr="009B1BB8">
              <w:rPr>
                <w:rStyle w:val="Hyperlink"/>
                <w:b/>
                <w:noProof/>
                <w:sz w:val="26"/>
                <w:szCs w:val="26"/>
              </w:rPr>
              <w:t>Präambel</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_Toc163025270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1</w:t>
            </w:r>
            <w:r w:rsidR="009B1BB8" w:rsidRPr="009B1BB8">
              <w:rPr>
                <w:noProof/>
                <w:webHidden/>
                <w:sz w:val="26"/>
                <w:szCs w:val="26"/>
              </w:rPr>
              <w:fldChar w:fldCharType="end"/>
            </w:r>
          </w:hyperlink>
        </w:p>
        <w:p w:rsidR="009B1BB8" w:rsidRPr="009B1BB8" w:rsidRDefault="00626F8A">
          <w:pPr>
            <w:pStyle w:val="Verzeichnis2"/>
            <w:tabs>
              <w:tab w:val="right" w:leader="dot" w:pos="9062"/>
            </w:tabs>
            <w:rPr>
              <w:noProof/>
              <w:sz w:val="26"/>
              <w:szCs w:val="26"/>
            </w:rPr>
          </w:pPr>
          <w:hyperlink w:anchor="_Toc163025271" w:history="1">
            <w:r w:rsidR="009B1BB8" w:rsidRPr="009B1BB8">
              <w:rPr>
                <w:rStyle w:val="Hyperlink"/>
                <w:b/>
                <w:noProof/>
                <w:sz w:val="26"/>
                <w:szCs w:val="26"/>
              </w:rPr>
              <w:t>§ 1 Begriffsdefinitionen</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_Toc163025271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2</w:t>
            </w:r>
            <w:r w:rsidR="009B1BB8" w:rsidRPr="009B1BB8">
              <w:rPr>
                <w:noProof/>
                <w:webHidden/>
                <w:sz w:val="26"/>
                <w:szCs w:val="26"/>
              </w:rPr>
              <w:fldChar w:fldCharType="end"/>
            </w:r>
          </w:hyperlink>
        </w:p>
        <w:p w:rsidR="009B1BB8" w:rsidRPr="009B1BB8" w:rsidRDefault="00626F8A">
          <w:pPr>
            <w:pStyle w:val="Verzeichnis2"/>
            <w:tabs>
              <w:tab w:val="right" w:leader="dot" w:pos="9062"/>
            </w:tabs>
            <w:rPr>
              <w:noProof/>
              <w:sz w:val="26"/>
              <w:szCs w:val="26"/>
            </w:rPr>
          </w:pPr>
          <w:hyperlink w:anchor="_Toc163025272" w:history="1">
            <w:r w:rsidR="009B1BB8" w:rsidRPr="009B1BB8">
              <w:rPr>
                <w:rStyle w:val="Hyperlink"/>
                <w:rFonts w:cs="Arial"/>
                <w:b/>
                <w:noProof/>
                <w:sz w:val="26"/>
                <w:szCs w:val="26"/>
              </w:rPr>
              <w:t>§ 2 Anspruchsberechtigte</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_Toc163025272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3</w:t>
            </w:r>
            <w:r w:rsidR="009B1BB8" w:rsidRPr="009B1BB8">
              <w:rPr>
                <w:noProof/>
                <w:webHidden/>
                <w:sz w:val="26"/>
                <w:szCs w:val="26"/>
              </w:rPr>
              <w:fldChar w:fldCharType="end"/>
            </w:r>
          </w:hyperlink>
        </w:p>
        <w:p w:rsidR="009B1BB8" w:rsidRPr="009B1BB8" w:rsidRDefault="00626F8A">
          <w:pPr>
            <w:pStyle w:val="Verzeichnis2"/>
            <w:tabs>
              <w:tab w:val="right" w:leader="dot" w:pos="9062"/>
            </w:tabs>
            <w:rPr>
              <w:noProof/>
              <w:sz w:val="26"/>
              <w:szCs w:val="26"/>
            </w:rPr>
          </w:pPr>
          <w:hyperlink w:anchor="_Toc163025273" w:history="1">
            <w:r w:rsidR="009B1BB8" w:rsidRPr="009B1BB8">
              <w:rPr>
                <w:rStyle w:val="Hyperlink"/>
                <w:b/>
                <w:noProof/>
                <w:sz w:val="26"/>
                <w:szCs w:val="26"/>
              </w:rPr>
              <w:t>§ 3 Höhe</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_Toc163025273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3</w:t>
            </w:r>
            <w:r w:rsidR="009B1BB8" w:rsidRPr="009B1BB8">
              <w:rPr>
                <w:noProof/>
                <w:webHidden/>
                <w:sz w:val="26"/>
                <w:szCs w:val="26"/>
              </w:rPr>
              <w:fldChar w:fldCharType="end"/>
            </w:r>
          </w:hyperlink>
        </w:p>
        <w:p w:rsidR="009B1BB8" w:rsidRPr="009B1BB8" w:rsidRDefault="00626F8A">
          <w:pPr>
            <w:pStyle w:val="Verzeichnis2"/>
            <w:tabs>
              <w:tab w:val="right" w:leader="dot" w:pos="9062"/>
            </w:tabs>
            <w:rPr>
              <w:noProof/>
              <w:sz w:val="26"/>
              <w:szCs w:val="26"/>
            </w:rPr>
          </w:pPr>
          <w:hyperlink w:anchor="_Toc163025274" w:history="1">
            <w:r w:rsidR="009B1BB8" w:rsidRPr="009B1BB8">
              <w:rPr>
                <w:rStyle w:val="Hyperlink"/>
                <w:rFonts w:cs="Arial"/>
                <w:b/>
                <w:noProof/>
                <w:sz w:val="26"/>
                <w:szCs w:val="26"/>
              </w:rPr>
              <w:t>§ 4 Verfahren</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_Toc163025274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4</w:t>
            </w:r>
            <w:r w:rsidR="009B1BB8" w:rsidRPr="009B1BB8">
              <w:rPr>
                <w:noProof/>
                <w:webHidden/>
                <w:sz w:val="26"/>
                <w:szCs w:val="26"/>
              </w:rPr>
              <w:fldChar w:fldCharType="end"/>
            </w:r>
          </w:hyperlink>
        </w:p>
        <w:p w:rsidR="009B1BB8" w:rsidRPr="009B1BB8" w:rsidRDefault="00626F8A">
          <w:pPr>
            <w:pStyle w:val="Verzeichnis2"/>
            <w:tabs>
              <w:tab w:val="right" w:leader="dot" w:pos="9062"/>
            </w:tabs>
            <w:rPr>
              <w:noProof/>
              <w:sz w:val="26"/>
              <w:szCs w:val="26"/>
            </w:rPr>
          </w:pPr>
          <w:hyperlink w:anchor="_Toc163025275" w:history="1">
            <w:r w:rsidR="009B1BB8" w:rsidRPr="009B1BB8">
              <w:rPr>
                <w:rStyle w:val="Hyperlink"/>
                <w:b/>
                <w:noProof/>
                <w:sz w:val="26"/>
                <w:szCs w:val="26"/>
              </w:rPr>
              <w:t>§ 5 Inkrafttreten</w:t>
            </w:r>
            <w:r w:rsidR="009B1BB8" w:rsidRPr="009B1BB8">
              <w:rPr>
                <w:noProof/>
                <w:webHidden/>
                <w:sz w:val="26"/>
                <w:szCs w:val="26"/>
              </w:rPr>
              <w:tab/>
            </w:r>
            <w:r w:rsidR="009B1BB8" w:rsidRPr="009B1BB8">
              <w:rPr>
                <w:noProof/>
                <w:webHidden/>
                <w:sz w:val="26"/>
                <w:szCs w:val="26"/>
              </w:rPr>
              <w:fldChar w:fldCharType="begin"/>
            </w:r>
            <w:r w:rsidR="009B1BB8" w:rsidRPr="009B1BB8">
              <w:rPr>
                <w:noProof/>
                <w:webHidden/>
                <w:sz w:val="26"/>
                <w:szCs w:val="26"/>
              </w:rPr>
              <w:instrText xml:space="preserve"> PAGEREF _Toc163025275 \h </w:instrText>
            </w:r>
            <w:r w:rsidR="009B1BB8" w:rsidRPr="009B1BB8">
              <w:rPr>
                <w:noProof/>
                <w:webHidden/>
                <w:sz w:val="26"/>
                <w:szCs w:val="26"/>
              </w:rPr>
            </w:r>
            <w:r w:rsidR="009B1BB8" w:rsidRPr="009B1BB8">
              <w:rPr>
                <w:noProof/>
                <w:webHidden/>
                <w:sz w:val="26"/>
                <w:szCs w:val="26"/>
              </w:rPr>
              <w:fldChar w:fldCharType="separate"/>
            </w:r>
            <w:r w:rsidR="009B1BB8" w:rsidRPr="009B1BB8">
              <w:rPr>
                <w:noProof/>
                <w:webHidden/>
                <w:sz w:val="26"/>
                <w:szCs w:val="26"/>
              </w:rPr>
              <w:t>5</w:t>
            </w:r>
            <w:r w:rsidR="009B1BB8" w:rsidRPr="009B1BB8">
              <w:rPr>
                <w:noProof/>
                <w:webHidden/>
                <w:sz w:val="26"/>
                <w:szCs w:val="26"/>
              </w:rPr>
              <w:fldChar w:fldCharType="end"/>
            </w:r>
          </w:hyperlink>
        </w:p>
        <w:p w:rsidR="009B1BB8" w:rsidRDefault="009B1BB8">
          <w:r>
            <w:rPr>
              <w:b/>
              <w:bCs/>
              <w:lang w:val="de-DE"/>
            </w:rPr>
            <w:fldChar w:fldCharType="end"/>
          </w:r>
        </w:p>
      </w:sdtContent>
    </w:sdt>
    <w:p w:rsidR="009B1BB8" w:rsidRDefault="009B1BB8">
      <w:pPr>
        <w:rPr>
          <w:rFonts w:eastAsia="Times New Roman" w:cstheme="majorBidi"/>
          <w:b/>
          <w:sz w:val="32"/>
          <w:szCs w:val="32"/>
          <w:lang w:val="de-DE"/>
        </w:rPr>
      </w:pPr>
      <w:bookmarkStart w:id="2" w:name="_Toc163025269"/>
      <w:r>
        <w:rPr>
          <w:rFonts w:eastAsia="Times New Roman"/>
          <w:b/>
          <w:lang w:val="de-DE"/>
        </w:rPr>
        <w:br w:type="page"/>
      </w:r>
    </w:p>
    <w:p w:rsidR="003A7D1B" w:rsidRPr="005344BF" w:rsidRDefault="003A7D1B" w:rsidP="00F64D0B">
      <w:pPr>
        <w:pStyle w:val="berschrift1"/>
        <w:spacing w:line="360" w:lineRule="auto"/>
        <w:rPr>
          <w:rFonts w:eastAsia="Times New Roman"/>
          <w:b/>
          <w:color w:val="auto"/>
        </w:rPr>
      </w:pPr>
      <w:r w:rsidRPr="005344BF">
        <w:rPr>
          <w:rFonts w:eastAsia="Times New Roman"/>
          <w:b/>
          <w:color w:val="auto"/>
          <w:lang w:val="de-DE"/>
        </w:rPr>
        <w:t xml:space="preserve">Richtlinie des Landes Tirol über die </w:t>
      </w:r>
      <w:r w:rsidR="000544F0" w:rsidRPr="005344BF">
        <w:rPr>
          <w:rFonts w:eastAsia="Times New Roman"/>
          <w:b/>
          <w:color w:val="auto"/>
          <w:lang w:val="de-DE"/>
        </w:rPr>
        <w:t>Übernahme</w:t>
      </w:r>
      <w:r w:rsidR="0007220F" w:rsidRPr="005344BF">
        <w:rPr>
          <w:rFonts w:eastAsia="Times New Roman"/>
          <w:b/>
          <w:color w:val="auto"/>
          <w:lang w:val="de-DE"/>
        </w:rPr>
        <w:t xml:space="preserve"> von Kosten</w:t>
      </w:r>
      <w:r w:rsidR="000544F0" w:rsidRPr="005344BF">
        <w:rPr>
          <w:rFonts w:eastAsia="Times New Roman"/>
          <w:b/>
          <w:color w:val="auto"/>
          <w:lang w:val="de-DE"/>
        </w:rPr>
        <w:t xml:space="preserve"> für Aufwendungen</w:t>
      </w:r>
      <w:r w:rsidR="0007220F" w:rsidRPr="005344BF">
        <w:rPr>
          <w:rFonts w:eastAsia="Times New Roman"/>
          <w:b/>
          <w:color w:val="auto"/>
          <w:lang w:val="de-DE"/>
        </w:rPr>
        <w:t xml:space="preserve">, die im Rahmen der </w:t>
      </w:r>
      <w:r w:rsidR="000544F0" w:rsidRPr="005344BF">
        <w:rPr>
          <w:rFonts w:eastAsia="Times New Roman"/>
          <w:b/>
          <w:color w:val="auto"/>
          <w:lang w:val="de-DE"/>
        </w:rPr>
        <w:t xml:space="preserve">Koordinierung der </w:t>
      </w:r>
      <w:r w:rsidR="0007220F" w:rsidRPr="005344BF">
        <w:rPr>
          <w:rFonts w:eastAsia="Times New Roman"/>
          <w:b/>
          <w:color w:val="auto"/>
          <w:lang w:val="de-DE"/>
        </w:rPr>
        <w:t>Umsetzung des Tiroler Aktionsplanes</w:t>
      </w:r>
      <w:r w:rsidR="007B55C2" w:rsidRPr="005344BF">
        <w:rPr>
          <w:rFonts w:eastAsia="Times New Roman"/>
          <w:b/>
          <w:color w:val="auto"/>
          <w:lang w:val="de-DE"/>
        </w:rPr>
        <w:t xml:space="preserve"> (</w:t>
      </w:r>
      <w:r w:rsidR="000544F0" w:rsidRPr="005344BF">
        <w:rPr>
          <w:rFonts w:eastAsia="Times New Roman"/>
          <w:b/>
          <w:color w:val="auto"/>
          <w:lang w:val="de-DE"/>
        </w:rPr>
        <w:t>TAP</w:t>
      </w:r>
      <w:r w:rsidR="007B55C2" w:rsidRPr="005344BF">
        <w:rPr>
          <w:rFonts w:eastAsia="Times New Roman"/>
          <w:b/>
          <w:color w:val="auto"/>
          <w:lang w:val="de-DE"/>
        </w:rPr>
        <w:t>)</w:t>
      </w:r>
      <w:r w:rsidR="008428D0" w:rsidRPr="005344BF">
        <w:rPr>
          <w:rFonts w:eastAsia="Times New Roman"/>
          <w:b/>
          <w:color w:val="auto"/>
          <w:lang w:val="de-DE"/>
        </w:rPr>
        <w:t xml:space="preserve"> im Jahr 2024</w:t>
      </w:r>
      <w:r w:rsidR="0007220F" w:rsidRPr="005344BF">
        <w:rPr>
          <w:rFonts w:eastAsia="Times New Roman"/>
          <w:b/>
          <w:color w:val="auto"/>
          <w:lang w:val="de-DE"/>
        </w:rPr>
        <w:t xml:space="preserve"> entstehen</w:t>
      </w:r>
      <w:bookmarkEnd w:id="0"/>
      <w:bookmarkEnd w:id="1"/>
      <w:r w:rsidR="007B55C2" w:rsidRPr="005344BF">
        <w:rPr>
          <w:rFonts w:eastAsia="Times New Roman"/>
          <w:b/>
          <w:color w:val="auto"/>
          <w:lang w:val="de-DE"/>
        </w:rPr>
        <w:t xml:space="preserve"> – </w:t>
      </w:r>
      <w:r w:rsidR="008428D0" w:rsidRPr="005344BF">
        <w:rPr>
          <w:rFonts w:eastAsia="Times New Roman"/>
          <w:b/>
          <w:color w:val="auto"/>
        </w:rPr>
        <w:t>TAP-Richtlinie 2024</w:t>
      </w:r>
      <w:bookmarkEnd w:id="2"/>
    </w:p>
    <w:p w:rsidR="00196F4B" w:rsidRPr="00196F4B" w:rsidRDefault="00196F4B" w:rsidP="00F64D0B"/>
    <w:p w:rsidR="0007220F" w:rsidRPr="00196F4B" w:rsidRDefault="0007220F" w:rsidP="00F64D0B">
      <w:pPr>
        <w:pStyle w:val="berschrift2"/>
        <w:spacing w:line="360" w:lineRule="auto"/>
        <w:rPr>
          <w:rFonts w:eastAsia="Times New Roman"/>
          <w:b/>
          <w:color w:val="auto"/>
          <w:lang w:val="de-DE"/>
        </w:rPr>
      </w:pPr>
      <w:bookmarkStart w:id="3" w:name="_Toc163025270"/>
      <w:r w:rsidRPr="00196F4B">
        <w:rPr>
          <w:b/>
          <w:color w:val="auto"/>
        </w:rPr>
        <w:t>Präambel</w:t>
      </w:r>
      <w:bookmarkEnd w:id="3"/>
    </w:p>
    <w:p w:rsidR="00196F4B" w:rsidRDefault="0007220F" w:rsidP="00F64D0B">
      <w:pPr>
        <w:autoSpaceDE w:val="0"/>
        <w:autoSpaceDN w:val="0"/>
        <w:adjustRightInd w:val="0"/>
        <w:spacing w:after="0" w:line="360" w:lineRule="auto"/>
        <w:rPr>
          <w:sz w:val="26"/>
          <w:szCs w:val="26"/>
        </w:rPr>
      </w:pPr>
      <w:r w:rsidRPr="00196F4B">
        <w:rPr>
          <w:sz w:val="26"/>
          <w:szCs w:val="26"/>
        </w:rPr>
        <w:t>Die Tiroler Landesregierung bekannte sich im August 2019 zur Umsetzung der UN-Behindertenrechtskonvention auf Landesebene</w:t>
      </w:r>
      <w:r w:rsidR="006F0451" w:rsidRPr="00196F4B">
        <w:rPr>
          <w:sz w:val="26"/>
          <w:szCs w:val="26"/>
        </w:rPr>
        <w:t>.</w:t>
      </w:r>
      <w:r w:rsidRPr="00196F4B">
        <w:rPr>
          <w:sz w:val="26"/>
          <w:szCs w:val="26"/>
        </w:rPr>
        <w:t xml:space="preserve"> Mit dem nunmehr vorliegenden „Tiroler Aktionsplan zur Umsetzung der UN-Behindertenrechtskonvention (TAP)“ soll ein wesentlicher Grundstein für die Sicherstellung von Chancengleichheit und -gerechtigkeit in unserer Gesellschaft gesetzt werden.</w:t>
      </w:r>
      <w:r w:rsidR="00196F4B">
        <w:rPr>
          <w:sz w:val="26"/>
          <w:szCs w:val="26"/>
        </w:rPr>
        <w:br/>
      </w:r>
    </w:p>
    <w:p w:rsidR="00196F4B" w:rsidRDefault="006F0451" w:rsidP="00F64D0B">
      <w:pPr>
        <w:autoSpaceDE w:val="0"/>
        <w:autoSpaceDN w:val="0"/>
        <w:adjustRightInd w:val="0"/>
        <w:spacing w:after="0" w:line="360" w:lineRule="auto"/>
        <w:rPr>
          <w:sz w:val="26"/>
          <w:szCs w:val="26"/>
        </w:rPr>
      </w:pPr>
      <w:r w:rsidRPr="00196F4B">
        <w:rPr>
          <w:sz w:val="26"/>
          <w:szCs w:val="26"/>
        </w:rPr>
        <w:t>Die</w:t>
      </w:r>
      <w:r w:rsidR="0007220F" w:rsidRPr="00196F4B">
        <w:rPr>
          <w:sz w:val="26"/>
          <w:szCs w:val="26"/>
        </w:rPr>
        <w:t xml:space="preserve"> Koordinierung der Umsetzung des TAP </w:t>
      </w:r>
      <w:r w:rsidR="00D3165D" w:rsidRPr="00196F4B">
        <w:rPr>
          <w:sz w:val="26"/>
          <w:szCs w:val="26"/>
        </w:rPr>
        <w:t>erfolgt</w:t>
      </w:r>
      <w:r w:rsidRPr="00196F4B">
        <w:rPr>
          <w:sz w:val="26"/>
          <w:szCs w:val="26"/>
        </w:rPr>
        <w:t xml:space="preserve"> in </w:t>
      </w:r>
      <w:r w:rsidR="0007220F" w:rsidRPr="00196F4B">
        <w:rPr>
          <w:sz w:val="26"/>
          <w:szCs w:val="26"/>
        </w:rPr>
        <w:t>fünf Umsetzungsteam</w:t>
      </w:r>
      <w:r w:rsidR="00D3165D" w:rsidRPr="00196F4B">
        <w:rPr>
          <w:sz w:val="26"/>
          <w:szCs w:val="26"/>
        </w:rPr>
        <w:t>s zu thematischen Schwerpunkten</w:t>
      </w:r>
      <w:r w:rsidR="00E6201A" w:rsidRPr="00196F4B">
        <w:rPr>
          <w:sz w:val="26"/>
          <w:szCs w:val="26"/>
        </w:rPr>
        <w:t>. Der Teilnehmer*</w:t>
      </w:r>
      <w:r w:rsidR="0007220F" w:rsidRPr="00196F4B">
        <w:rPr>
          <w:sz w:val="26"/>
          <w:szCs w:val="26"/>
        </w:rPr>
        <w:t xml:space="preserve">innenkreis der Umsetzungsteams setzt sich aus einem multiprofessionellen </w:t>
      </w:r>
      <w:r w:rsidR="00D3165D" w:rsidRPr="00196F4B">
        <w:rPr>
          <w:sz w:val="26"/>
          <w:szCs w:val="26"/>
        </w:rPr>
        <w:t>Team zusammen. Einerseits nehmen</w:t>
      </w:r>
      <w:r w:rsidR="0007220F" w:rsidRPr="00196F4B">
        <w:rPr>
          <w:sz w:val="26"/>
          <w:szCs w:val="26"/>
        </w:rPr>
        <w:t xml:space="preserve"> Vertreter*innen der zuständigen landesinternen Abteilungen und andererseits Personen aus der Zivilgesellschaft </w:t>
      </w:r>
      <w:r w:rsidR="001773B5" w:rsidRPr="00196F4B">
        <w:rPr>
          <w:sz w:val="26"/>
          <w:szCs w:val="26"/>
        </w:rPr>
        <w:t xml:space="preserve">an den diesbezüglichen Sitzungen </w:t>
      </w:r>
      <w:r w:rsidR="00D3165D" w:rsidRPr="00196F4B">
        <w:rPr>
          <w:sz w:val="26"/>
          <w:szCs w:val="26"/>
        </w:rPr>
        <w:t>teil</w:t>
      </w:r>
      <w:r w:rsidR="0007220F" w:rsidRPr="00196F4B">
        <w:rPr>
          <w:sz w:val="26"/>
          <w:szCs w:val="26"/>
        </w:rPr>
        <w:t xml:space="preserve">. </w:t>
      </w:r>
      <w:r w:rsidR="00196F4B">
        <w:rPr>
          <w:sz w:val="26"/>
          <w:szCs w:val="26"/>
        </w:rPr>
        <w:br/>
      </w:r>
    </w:p>
    <w:p w:rsidR="00175CD6" w:rsidRPr="00196F4B" w:rsidRDefault="0007220F" w:rsidP="00F64D0B">
      <w:pPr>
        <w:autoSpaceDE w:val="0"/>
        <w:autoSpaceDN w:val="0"/>
        <w:adjustRightInd w:val="0"/>
        <w:spacing w:after="0" w:line="360" w:lineRule="auto"/>
        <w:rPr>
          <w:sz w:val="26"/>
          <w:szCs w:val="26"/>
        </w:rPr>
      </w:pPr>
      <w:r w:rsidRPr="00196F4B">
        <w:rPr>
          <w:sz w:val="26"/>
          <w:szCs w:val="26"/>
        </w:rPr>
        <w:t xml:space="preserve">Menschen mit Behinderungen </w:t>
      </w:r>
      <w:r w:rsidR="006F0451" w:rsidRPr="00196F4B">
        <w:rPr>
          <w:sz w:val="26"/>
          <w:szCs w:val="26"/>
        </w:rPr>
        <w:t xml:space="preserve">soll </w:t>
      </w:r>
      <w:r w:rsidR="00D3165D" w:rsidRPr="00196F4B">
        <w:rPr>
          <w:sz w:val="26"/>
          <w:szCs w:val="26"/>
        </w:rPr>
        <w:t xml:space="preserve">auch im Kalenderjahr 2024 </w:t>
      </w:r>
      <w:r w:rsidRPr="00196F4B">
        <w:rPr>
          <w:sz w:val="26"/>
          <w:szCs w:val="26"/>
        </w:rPr>
        <w:t xml:space="preserve">eine umfassende Teilhabe im Umsetzungsprozess des TAP </w:t>
      </w:r>
      <w:r w:rsidR="006F0451" w:rsidRPr="00196F4B">
        <w:rPr>
          <w:sz w:val="26"/>
          <w:szCs w:val="26"/>
        </w:rPr>
        <w:t xml:space="preserve">ermöglicht werden. Hierfür werden seitens des Landes Tirol verschiedene Maßnahmen zur Herstellung der Barrierefreiheit </w:t>
      </w:r>
      <w:r w:rsidR="001773B5" w:rsidRPr="00196F4B">
        <w:rPr>
          <w:sz w:val="26"/>
          <w:szCs w:val="26"/>
        </w:rPr>
        <w:t>(bspw.</w:t>
      </w:r>
      <w:r w:rsidR="001773B5" w:rsidRPr="00196F4B">
        <w:rPr>
          <w:sz w:val="26"/>
          <w:szCs w:val="26"/>
          <w:lang w:val="de-DE"/>
        </w:rPr>
        <w:t xml:space="preserve"> Übersetzungen in einfache Sprache, Visualisierung, Dolmetschleistungen udgl.)</w:t>
      </w:r>
      <w:r w:rsidR="001773B5" w:rsidRPr="00196F4B">
        <w:rPr>
          <w:sz w:val="26"/>
          <w:szCs w:val="26"/>
        </w:rPr>
        <w:t xml:space="preserve"> </w:t>
      </w:r>
      <w:r w:rsidR="006F0451" w:rsidRPr="00196F4B">
        <w:rPr>
          <w:sz w:val="26"/>
          <w:szCs w:val="26"/>
        </w:rPr>
        <w:t xml:space="preserve">gesetzt. </w:t>
      </w:r>
      <w:r w:rsidR="005344BF">
        <w:rPr>
          <w:sz w:val="26"/>
          <w:szCs w:val="26"/>
        </w:rPr>
        <w:br/>
      </w:r>
    </w:p>
    <w:p w:rsidR="00EF6828" w:rsidRPr="00EF6828" w:rsidRDefault="000B7FD0" w:rsidP="00F64D0B">
      <w:pPr>
        <w:pStyle w:val="Listenabsatz"/>
        <w:numPr>
          <w:ilvl w:val="0"/>
          <w:numId w:val="20"/>
        </w:numPr>
        <w:autoSpaceDE w:val="0"/>
        <w:autoSpaceDN w:val="0"/>
        <w:adjustRightInd w:val="0"/>
        <w:spacing w:after="0" w:line="360" w:lineRule="auto"/>
        <w:rPr>
          <w:rFonts w:eastAsia="Times New Roman" w:cs="Arial"/>
          <w:b/>
          <w:sz w:val="26"/>
          <w:szCs w:val="26"/>
          <w:lang w:val="de-DE"/>
        </w:rPr>
      </w:pPr>
      <w:r w:rsidRPr="00EF6828">
        <w:rPr>
          <w:sz w:val="26"/>
          <w:szCs w:val="26"/>
        </w:rPr>
        <w:t>Sofern im Rahmen der Teilnahme an den Sitzungen mobile Unterstützungsleistungen iSd Tiroler Teilhabegesetzes benötigt werden, sollen Menschen mit Behinderungen bzw. Dienstleisterinnen die hierdurch entstehenden Aufwendungen abgegolten werden. Zusätzlich soll</w:t>
      </w:r>
      <w:r w:rsidR="00175CD6" w:rsidRPr="00EF6828">
        <w:rPr>
          <w:sz w:val="26"/>
          <w:szCs w:val="26"/>
        </w:rPr>
        <w:t xml:space="preserve"> ein durch die Teilnahme entstehender Aufwand für jene Personen, die nicht im Rahmen ihrer beruflichen Tätigkeit an </w:t>
      </w:r>
      <w:r w:rsidR="001773B5" w:rsidRPr="00EF6828">
        <w:rPr>
          <w:sz w:val="26"/>
          <w:szCs w:val="26"/>
        </w:rPr>
        <w:t xml:space="preserve">den </w:t>
      </w:r>
      <w:r w:rsidR="00175CD6" w:rsidRPr="00EF6828">
        <w:rPr>
          <w:sz w:val="26"/>
          <w:szCs w:val="26"/>
        </w:rPr>
        <w:t>Sitzungen teilnehmen, seitens des Landes Tirol entschädigt werden.</w:t>
      </w:r>
      <w:r w:rsidR="001773B5" w:rsidRPr="00EF6828">
        <w:rPr>
          <w:sz w:val="26"/>
          <w:szCs w:val="26"/>
        </w:rPr>
        <w:t xml:space="preserve"> Die gegenständliche Richtlinie regelt die Voraussetzungen für die Geltendmachung sowie das diesbezügliche Verfahren.</w:t>
      </w:r>
    </w:p>
    <w:p w:rsidR="00EF6828" w:rsidRPr="00EF6828" w:rsidRDefault="00EF6828" w:rsidP="00F64D0B">
      <w:pPr>
        <w:pStyle w:val="Listenabsatz"/>
        <w:autoSpaceDE w:val="0"/>
        <w:autoSpaceDN w:val="0"/>
        <w:adjustRightInd w:val="0"/>
        <w:spacing w:after="0" w:line="360" w:lineRule="auto"/>
        <w:ind w:left="360"/>
        <w:rPr>
          <w:rFonts w:eastAsia="Times New Roman" w:cs="Arial"/>
          <w:b/>
          <w:sz w:val="26"/>
          <w:szCs w:val="26"/>
          <w:lang w:val="de-DE"/>
        </w:rPr>
      </w:pPr>
    </w:p>
    <w:p w:rsidR="001635A3" w:rsidRPr="005344BF" w:rsidRDefault="001635A3" w:rsidP="00F64D0B">
      <w:pPr>
        <w:pStyle w:val="berschrift2"/>
        <w:spacing w:line="360" w:lineRule="auto"/>
        <w:rPr>
          <w:b/>
          <w:color w:val="auto"/>
        </w:rPr>
      </w:pPr>
      <w:bookmarkStart w:id="4" w:name="_Toc163025271"/>
      <w:bookmarkStart w:id="5" w:name="_Toc513563318"/>
      <w:r w:rsidRPr="005344BF">
        <w:rPr>
          <w:b/>
          <w:color w:val="auto"/>
        </w:rPr>
        <w:t>§ 1 Begriffsdefinitionen</w:t>
      </w:r>
      <w:bookmarkEnd w:id="4"/>
    </w:p>
    <w:p w:rsidR="001635A3" w:rsidRPr="005344BF" w:rsidRDefault="00E52AD3" w:rsidP="00F64D0B">
      <w:pPr>
        <w:autoSpaceDE w:val="0"/>
        <w:autoSpaceDN w:val="0"/>
        <w:adjustRightInd w:val="0"/>
        <w:spacing w:after="120" w:line="360" w:lineRule="auto"/>
        <w:rPr>
          <w:rFonts w:ascii="ArialMT" w:hAnsi="ArialMT" w:cs="ArialMT"/>
          <w:sz w:val="26"/>
          <w:szCs w:val="26"/>
        </w:rPr>
      </w:pPr>
      <w:r w:rsidRPr="005344BF">
        <w:rPr>
          <w:rFonts w:ascii="ArialMT" w:hAnsi="ArialMT" w:cs="ArialMT"/>
          <w:sz w:val="26"/>
          <w:szCs w:val="26"/>
        </w:rPr>
        <w:t>Im Sinne dieser Richtlinie gelten als:</w:t>
      </w:r>
    </w:p>
    <w:p w:rsidR="00EF6828" w:rsidRPr="00EF6828" w:rsidRDefault="00E52AD3" w:rsidP="00F64D0B">
      <w:pPr>
        <w:pStyle w:val="Listenabsatz"/>
        <w:numPr>
          <w:ilvl w:val="0"/>
          <w:numId w:val="8"/>
        </w:numPr>
        <w:autoSpaceDE w:val="0"/>
        <w:autoSpaceDN w:val="0"/>
        <w:adjustRightInd w:val="0"/>
        <w:spacing w:after="120" w:line="360" w:lineRule="auto"/>
        <w:ind w:left="425" w:hanging="425"/>
        <w:contextualSpacing w:val="0"/>
        <w:rPr>
          <w:rFonts w:ascii="ArialMT" w:hAnsi="ArialMT" w:cs="ArialMT"/>
          <w:sz w:val="26"/>
          <w:szCs w:val="26"/>
        </w:rPr>
      </w:pPr>
      <w:r w:rsidRPr="005344BF">
        <w:rPr>
          <w:rFonts w:ascii="ArialMT" w:hAnsi="ArialMT" w:cs="ArialMT"/>
          <w:sz w:val="26"/>
          <w:szCs w:val="26"/>
        </w:rPr>
        <w:t xml:space="preserve">Sitzungen: die im Rahmen des Umsetzungsprozesses des TAP durchgeführten Termine, zu denen von der beim Amt der Tiroler Landesregierung eingerichteten </w:t>
      </w:r>
      <w:r w:rsidR="00B4217D" w:rsidRPr="005344BF">
        <w:rPr>
          <w:rFonts w:ascii="ArialMT" w:hAnsi="ArialMT" w:cs="ArialMT"/>
          <w:sz w:val="26"/>
          <w:szCs w:val="26"/>
        </w:rPr>
        <w:t>„Koordinierungs</w:t>
      </w:r>
      <w:r w:rsidRPr="005344BF">
        <w:rPr>
          <w:rFonts w:ascii="ArialMT" w:hAnsi="ArialMT" w:cs="ArialMT"/>
          <w:sz w:val="26"/>
          <w:szCs w:val="26"/>
        </w:rPr>
        <w:t>stelle zur Umsetzung des Tiroler Aktionsplanes</w:t>
      </w:r>
      <w:r w:rsidR="00B4217D" w:rsidRPr="005344BF">
        <w:rPr>
          <w:rFonts w:ascii="ArialMT" w:hAnsi="ArialMT" w:cs="ArialMT"/>
          <w:sz w:val="26"/>
          <w:szCs w:val="26"/>
        </w:rPr>
        <w:t>“</w:t>
      </w:r>
      <w:r w:rsidRPr="005344BF">
        <w:rPr>
          <w:rFonts w:ascii="ArialMT" w:hAnsi="ArialMT" w:cs="ArialMT"/>
          <w:sz w:val="26"/>
          <w:szCs w:val="26"/>
        </w:rPr>
        <w:t xml:space="preserve"> eingeladen</w:t>
      </w:r>
      <w:r w:rsidR="006F384E" w:rsidRPr="005344BF">
        <w:rPr>
          <w:rFonts w:ascii="ArialMT" w:hAnsi="ArialMT" w:cs="ArialMT"/>
          <w:sz w:val="26"/>
          <w:szCs w:val="26"/>
        </w:rPr>
        <w:t xml:space="preserve"> wird; zu den Sitzungen zählen auch die Zeiten für die An- und Abreise.</w:t>
      </w:r>
    </w:p>
    <w:p w:rsidR="00EF6828" w:rsidRDefault="00DE4A04" w:rsidP="00F64D0B">
      <w:pPr>
        <w:pStyle w:val="Listenabsatz"/>
        <w:numPr>
          <w:ilvl w:val="0"/>
          <w:numId w:val="8"/>
        </w:numPr>
        <w:autoSpaceDE w:val="0"/>
        <w:autoSpaceDN w:val="0"/>
        <w:adjustRightInd w:val="0"/>
        <w:spacing w:after="120" w:line="360" w:lineRule="auto"/>
        <w:ind w:left="425" w:hanging="425"/>
        <w:contextualSpacing w:val="0"/>
        <w:rPr>
          <w:rFonts w:ascii="ArialMT" w:hAnsi="ArialMT" w:cs="ArialMT"/>
          <w:sz w:val="26"/>
          <w:szCs w:val="26"/>
        </w:rPr>
      </w:pPr>
      <w:r w:rsidRPr="005344BF">
        <w:rPr>
          <w:rFonts w:ascii="ArialMT" w:hAnsi="ArialMT" w:cs="ArialMT"/>
          <w:sz w:val="26"/>
          <w:szCs w:val="26"/>
        </w:rPr>
        <w:t>Mobile Unterstützungsleistungen</w:t>
      </w:r>
      <w:r w:rsidR="00E52AD3" w:rsidRPr="005344BF">
        <w:rPr>
          <w:rFonts w:ascii="ArialMT" w:hAnsi="ArialMT" w:cs="ArialMT"/>
          <w:sz w:val="26"/>
          <w:szCs w:val="26"/>
        </w:rPr>
        <w:t>:</w:t>
      </w:r>
      <w:r w:rsidRPr="005344BF">
        <w:rPr>
          <w:rFonts w:ascii="ArialMT" w:hAnsi="ArialMT" w:cs="ArialMT"/>
          <w:sz w:val="26"/>
          <w:szCs w:val="26"/>
        </w:rPr>
        <w:t xml:space="preserve"> folgende Leistungen nach dem Tiroler Teilhabegesetz (TTHG), LGBl. 32/2018, in der jeweils geltenden Fassung:</w:t>
      </w:r>
    </w:p>
    <w:p w:rsidR="00EF6828" w:rsidRDefault="00EF6828" w:rsidP="00F64D0B">
      <w:pPr>
        <w:pStyle w:val="Listenabsatz"/>
        <w:numPr>
          <w:ilvl w:val="1"/>
          <w:numId w:val="8"/>
        </w:numPr>
        <w:autoSpaceDE w:val="0"/>
        <w:autoSpaceDN w:val="0"/>
        <w:adjustRightInd w:val="0"/>
        <w:spacing w:after="120" w:line="360" w:lineRule="auto"/>
        <w:contextualSpacing w:val="0"/>
        <w:rPr>
          <w:rFonts w:ascii="ArialMT" w:hAnsi="ArialMT" w:cs="ArialMT"/>
          <w:sz w:val="26"/>
          <w:szCs w:val="26"/>
        </w:rPr>
      </w:pPr>
      <w:r w:rsidRPr="005344BF">
        <w:rPr>
          <w:rFonts w:ascii="ArialMT" w:hAnsi="ArialMT" w:cs="ArialMT"/>
          <w:sz w:val="26"/>
          <w:szCs w:val="26"/>
        </w:rPr>
        <w:t>Persönliche Assistenz (§ 6 Abs. 2 lit. a TTHG)</w:t>
      </w:r>
    </w:p>
    <w:p w:rsidR="00DE4A04" w:rsidRPr="00EF6828" w:rsidRDefault="00EF6828" w:rsidP="00F64D0B">
      <w:pPr>
        <w:pStyle w:val="Listenabsatz"/>
        <w:numPr>
          <w:ilvl w:val="1"/>
          <w:numId w:val="8"/>
        </w:numPr>
        <w:autoSpaceDE w:val="0"/>
        <w:autoSpaceDN w:val="0"/>
        <w:adjustRightInd w:val="0"/>
        <w:spacing w:after="120" w:line="360" w:lineRule="auto"/>
        <w:contextualSpacing w:val="0"/>
        <w:rPr>
          <w:rFonts w:ascii="ArialMT" w:hAnsi="ArialMT" w:cs="ArialMT"/>
          <w:sz w:val="26"/>
          <w:szCs w:val="26"/>
        </w:rPr>
      </w:pPr>
      <w:r w:rsidRPr="005344BF">
        <w:rPr>
          <w:rFonts w:ascii="ArialMT" w:hAnsi="ArialMT" w:cs="ArialMT"/>
          <w:sz w:val="26"/>
          <w:szCs w:val="26"/>
        </w:rPr>
        <w:t>Mobile Begleitung</w:t>
      </w:r>
      <w:r>
        <w:rPr>
          <w:rFonts w:ascii="ArialMT" w:hAnsi="ArialMT" w:cs="ArialMT"/>
          <w:sz w:val="26"/>
          <w:szCs w:val="26"/>
        </w:rPr>
        <w:t xml:space="preserve"> </w:t>
      </w:r>
      <w:r w:rsidRPr="005344BF">
        <w:rPr>
          <w:rFonts w:ascii="ArialMT" w:hAnsi="ArialMT" w:cs="ArialMT"/>
          <w:sz w:val="26"/>
          <w:szCs w:val="26"/>
        </w:rPr>
        <w:t>(§ 6 Abs. 2 lit. c TTHG</w:t>
      </w:r>
      <w:r>
        <w:rPr>
          <w:rFonts w:ascii="ArialMT" w:hAnsi="ArialMT" w:cs="ArialMT"/>
          <w:sz w:val="26"/>
          <w:szCs w:val="26"/>
        </w:rPr>
        <w:t>)</w:t>
      </w:r>
    </w:p>
    <w:p w:rsidR="00DE4A04" w:rsidRDefault="00E52AD3" w:rsidP="00F64D0B">
      <w:pPr>
        <w:pStyle w:val="Listenabsatz"/>
        <w:numPr>
          <w:ilvl w:val="0"/>
          <w:numId w:val="8"/>
        </w:numPr>
        <w:autoSpaceDE w:val="0"/>
        <w:autoSpaceDN w:val="0"/>
        <w:adjustRightInd w:val="0"/>
        <w:spacing w:after="120" w:line="360" w:lineRule="auto"/>
        <w:ind w:left="425" w:hanging="425"/>
        <w:contextualSpacing w:val="0"/>
        <w:rPr>
          <w:rFonts w:ascii="ArialMT" w:hAnsi="ArialMT" w:cs="ArialMT"/>
          <w:sz w:val="26"/>
          <w:szCs w:val="26"/>
        </w:rPr>
      </w:pPr>
      <w:r w:rsidRPr="005344BF">
        <w:rPr>
          <w:rFonts w:ascii="ArialMT" w:hAnsi="ArialMT" w:cs="ArialMT"/>
          <w:sz w:val="26"/>
          <w:szCs w:val="26"/>
        </w:rPr>
        <w:t>Aufwendungen:</w:t>
      </w:r>
    </w:p>
    <w:p w:rsidR="00EF6828" w:rsidRDefault="00903D03" w:rsidP="00F64D0B">
      <w:pPr>
        <w:pStyle w:val="Listenabsatz"/>
        <w:numPr>
          <w:ilvl w:val="1"/>
          <w:numId w:val="8"/>
        </w:numPr>
        <w:autoSpaceDE w:val="0"/>
        <w:autoSpaceDN w:val="0"/>
        <w:adjustRightInd w:val="0"/>
        <w:spacing w:after="120" w:line="360" w:lineRule="auto"/>
        <w:contextualSpacing w:val="0"/>
        <w:rPr>
          <w:rFonts w:ascii="ArialMT" w:hAnsi="ArialMT" w:cs="ArialMT"/>
          <w:sz w:val="26"/>
          <w:szCs w:val="26"/>
        </w:rPr>
      </w:pPr>
      <w:r w:rsidRPr="005344BF">
        <w:rPr>
          <w:rFonts w:ascii="ArialMT" w:hAnsi="ArialMT" w:cs="ArialMT"/>
          <w:sz w:val="26"/>
          <w:szCs w:val="26"/>
        </w:rPr>
        <w:t>Kosten, die einer Dienstleisterin (§ 2 Abs. 1) aufgrund der Erbringung von mobilen Unterstützungsleistungen entstehen, um Menschen mit Behinderungen die Teilnahme an den Sitzungen zu ermöglichen und die nicht über die jeweilige dem Menschen mit Behinderungen gewährte Leistung nach dem TTHG abgerechnet</w:t>
      </w:r>
      <w:r>
        <w:rPr>
          <w:rFonts w:ascii="ArialMT" w:hAnsi="ArialMT" w:cs="ArialMT"/>
          <w:sz w:val="26"/>
          <w:szCs w:val="26"/>
        </w:rPr>
        <w:t xml:space="preserve"> werden;</w:t>
      </w:r>
    </w:p>
    <w:p w:rsidR="00903D03" w:rsidRPr="005344BF" w:rsidRDefault="00903D03" w:rsidP="00F64D0B">
      <w:pPr>
        <w:pStyle w:val="Listenabsatz"/>
        <w:numPr>
          <w:ilvl w:val="1"/>
          <w:numId w:val="8"/>
        </w:numPr>
        <w:autoSpaceDE w:val="0"/>
        <w:autoSpaceDN w:val="0"/>
        <w:adjustRightInd w:val="0"/>
        <w:spacing w:after="120" w:line="360" w:lineRule="auto"/>
        <w:contextualSpacing w:val="0"/>
        <w:rPr>
          <w:rFonts w:ascii="ArialMT" w:hAnsi="ArialMT" w:cs="ArialMT"/>
          <w:sz w:val="26"/>
          <w:szCs w:val="26"/>
        </w:rPr>
      </w:pPr>
      <w:r w:rsidRPr="005344BF">
        <w:rPr>
          <w:rFonts w:ascii="ArialMT" w:hAnsi="ArialMT" w:cs="ArialMT"/>
          <w:sz w:val="26"/>
          <w:szCs w:val="26"/>
        </w:rPr>
        <w:t>Kosten, die einer Budgetnehmerin (§ 2 Abs. 2) dadurch entstehen, dass sie über das nach dem TTHG genehmigte Stundenausmaß hinaus mobile Unterstützungsleistungen ihrer im Rahmen des</w:t>
      </w:r>
      <w:r w:rsidRPr="00903D03">
        <w:rPr>
          <w:rFonts w:ascii="ArialMT" w:hAnsi="ArialMT" w:cs="ArialMT"/>
          <w:sz w:val="26"/>
          <w:szCs w:val="26"/>
        </w:rPr>
        <w:t xml:space="preserve"> </w:t>
      </w:r>
      <w:r w:rsidRPr="005344BF">
        <w:rPr>
          <w:rFonts w:ascii="ArialMT" w:hAnsi="ArialMT" w:cs="ArialMT"/>
          <w:sz w:val="26"/>
          <w:szCs w:val="26"/>
        </w:rPr>
        <w:t>persönlichen Budgets beschäftigten Arbeitnehmerinnen in Anspruch nimmt, um an den Sitzungen teilnehmen</w:t>
      </w:r>
      <w:r>
        <w:rPr>
          <w:rFonts w:ascii="ArialMT" w:hAnsi="ArialMT" w:cs="ArialMT"/>
          <w:sz w:val="26"/>
          <w:szCs w:val="26"/>
        </w:rPr>
        <w:t xml:space="preserve"> zu können.</w:t>
      </w:r>
    </w:p>
    <w:p w:rsidR="00B51606" w:rsidRPr="005344BF" w:rsidRDefault="00B51606" w:rsidP="00F64D0B">
      <w:pPr>
        <w:pStyle w:val="Listenabsatz"/>
        <w:numPr>
          <w:ilvl w:val="0"/>
          <w:numId w:val="8"/>
        </w:numPr>
        <w:autoSpaceDE w:val="0"/>
        <w:autoSpaceDN w:val="0"/>
        <w:adjustRightInd w:val="0"/>
        <w:spacing w:after="120" w:line="360" w:lineRule="auto"/>
        <w:ind w:left="425" w:hanging="425"/>
        <w:contextualSpacing w:val="0"/>
        <w:rPr>
          <w:rFonts w:ascii="ArialMT" w:hAnsi="ArialMT" w:cs="ArialMT"/>
          <w:sz w:val="26"/>
          <w:szCs w:val="26"/>
        </w:rPr>
      </w:pPr>
      <w:r w:rsidRPr="005344BF">
        <w:rPr>
          <w:rFonts w:ascii="ArialMT" w:hAnsi="ArialMT" w:cs="ArialMT"/>
          <w:sz w:val="26"/>
          <w:szCs w:val="26"/>
        </w:rPr>
        <w:t>Aufwandsentschädigung: eine pauschalierte Abgeltung für</w:t>
      </w:r>
      <w:r w:rsidR="008C62FA" w:rsidRPr="005344BF">
        <w:rPr>
          <w:rFonts w:ascii="ArialMT" w:hAnsi="ArialMT" w:cs="ArialMT"/>
          <w:sz w:val="26"/>
          <w:szCs w:val="26"/>
        </w:rPr>
        <w:t xml:space="preserve"> die Teilnahme an den Sitzungen.</w:t>
      </w:r>
    </w:p>
    <w:p w:rsidR="008C62FA" w:rsidRPr="005344BF" w:rsidRDefault="008C62FA" w:rsidP="00F64D0B">
      <w:pPr>
        <w:pStyle w:val="Listenabsatz"/>
        <w:autoSpaceDE w:val="0"/>
        <w:autoSpaceDN w:val="0"/>
        <w:adjustRightInd w:val="0"/>
        <w:spacing w:after="120" w:line="360" w:lineRule="auto"/>
        <w:ind w:left="425"/>
        <w:contextualSpacing w:val="0"/>
        <w:rPr>
          <w:rFonts w:ascii="ArialMT" w:hAnsi="ArialMT" w:cs="ArialMT"/>
          <w:sz w:val="26"/>
          <w:szCs w:val="26"/>
        </w:rPr>
      </w:pPr>
    </w:p>
    <w:p w:rsidR="001635A3" w:rsidRPr="005344BF" w:rsidRDefault="001635A3" w:rsidP="00F64D0B">
      <w:pPr>
        <w:pStyle w:val="berschrift2"/>
        <w:spacing w:line="360" w:lineRule="auto"/>
        <w:rPr>
          <w:rFonts w:cs="Arial"/>
          <w:b/>
          <w:color w:val="auto"/>
        </w:rPr>
      </w:pPr>
      <w:bookmarkStart w:id="6" w:name="_Toc163025272"/>
      <w:r w:rsidRPr="005344BF">
        <w:rPr>
          <w:rFonts w:cs="Arial"/>
          <w:b/>
          <w:color w:val="auto"/>
        </w:rPr>
        <w:t>§ 2 Anspruchsberechtigte</w:t>
      </w:r>
      <w:bookmarkEnd w:id="6"/>
    </w:p>
    <w:p w:rsidR="001635A3" w:rsidRPr="005344BF" w:rsidRDefault="001635A3" w:rsidP="00F64D0B">
      <w:pPr>
        <w:pStyle w:val="Listenabsatz"/>
        <w:numPr>
          <w:ilvl w:val="0"/>
          <w:numId w:val="11"/>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 xml:space="preserve">Anspruchsberechtigt </w:t>
      </w:r>
      <w:r w:rsidR="00B51606" w:rsidRPr="005344BF">
        <w:rPr>
          <w:rFonts w:cs="Arial"/>
          <w:sz w:val="26"/>
          <w:szCs w:val="26"/>
        </w:rPr>
        <w:t xml:space="preserve">für die Geltendmachung von Aufwendungen </w:t>
      </w:r>
      <w:r w:rsidR="006F384E" w:rsidRPr="005344BF">
        <w:rPr>
          <w:rFonts w:cs="Arial"/>
          <w:sz w:val="26"/>
          <w:szCs w:val="26"/>
        </w:rPr>
        <w:t xml:space="preserve">nach § 1 Abs. 3 lit. a </w:t>
      </w:r>
      <w:r w:rsidR="00B51606" w:rsidRPr="005344BF">
        <w:rPr>
          <w:rFonts w:cs="Arial"/>
          <w:sz w:val="26"/>
          <w:szCs w:val="26"/>
        </w:rPr>
        <w:t>sind</w:t>
      </w:r>
      <w:r w:rsidRPr="005344BF">
        <w:rPr>
          <w:rFonts w:cs="Arial"/>
          <w:sz w:val="26"/>
          <w:szCs w:val="26"/>
        </w:rPr>
        <w:t xml:space="preserve"> </w:t>
      </w:r>
      <w:r w:rsidR="006F384E" w:rsidRPr="005344BF">
        <w:rPr>
          <w:rFonts w:cs="Arial"/>
          <w:sz w:val="26"/>
          <w:szCs w:val="26"/>
        </w:rPr>
        <w:t xml:space="preserve">Dienstleisterinnen nach § 3 lit. g </w:t>
      </w:r>
      <w:r w:rsidR="00811081" w:rsidRPr="005344BF">
        <w:rPr>
          <w:rFonts w:cs="Arial"/>
          <w:sz w:val="26"/>
          <w:szCs w:val="26"/>
        </w:rPr>
        <w:t>TTHG</w:t>
      </w:r>
      <w:r w:rsidR="006F384E" w:rsidRPr="005344BF">
        <w:rPr>
          <w:rFonts w:cs="Arial"/>
          <w:sz w:val="26"/>
          <w:szCs w:val="26"/>
        </w:rPr>
        <w:t xml:space="preserve"> (kurz: Dienstleisterin).</w:t>
      </w:r>
    </w:p>
    <w:p w:rsidR="001635A3" w:rsidRPr="005344BF" w:rsidRDefault="006F384E" w:rsidP="00F64D0B">
      <w:pPr>
        <w:pStyle w:val="Listenabsatz"/>
        <w:numPr>
          <w:ilvl w:val="0"/>
          <w:numId w:val="11"/>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 xml:space="preserve">Anspruchsberechtigt für die Geltendmachung von Aufwendungen nach § 1 Abs. 3 lit. b sind </w:t>
      </w:r>
      <w:r w:rsidR="001635A3" w:rsidRPr="005344BF">
        <w:rPr>
          <w:rFonts w:cs="Arial"/>
          <w:sz w:val="26"/>
          <w:szCs w:val="26"/>
        </w:rPr>
        <w:t>Menschen mit Behinderungen, die Leistungen in Form eines persönlichen Budgets gem</w:t>
      </w:r>
      <w:r w:rsidRPr="005344BF">
        <w:rPr>
          <w:rFonts w:cs="Arial"/>
          <w:sz w:val="26"/>
          <w:szCs w:val="26"/>
        </w:rPr>
        <w:t>äß</w:t>
      </w:r>
      <w:r w:rsidR="001635A3" w:rsidRPr="005344BF">
        <w:rPr>
          <w:rFonts w:cs="Arial"/>
          <w:sz w:val="26"/>
          <w:szCs w:val="26"/>
        </w:rPr>
        <w:t xml:space="preserve"> § 5 Abs. 2 </w:t>
      </w:r>
      <w:r w:rsidRPr="005344BF">
        <w:rPr>
          <w:rFonts w:cs="Arial"/>
          <w:sz w:val="26"/>
          <w:szCs w:val="26"/>
        </w:rPr>
        <w:t>TTHG</w:t>
      </w:r>
      <w:r w:rsidR="001635A3" w:rsidRPr="005344BF">
        <w:rPr>
          <w:rFonts w:cs="Arial"/>
          <w:sz w:val="26"/>
          <w:szCs w:val="26"/>
        </w:rPr>
        <w:t xml:space="preserve"> iVm der Richtlinie des Landes Tirol vom 30.11.2021 über die in Form eines persönlichen Budgets gewährten Leistungen (Persönliches Budget-Richtlinie) beziehen und Arbeitnehmerinnen auf Grundlage des Arbeitgeberinnen-Modells nach § 4 lit. a Persönliches Budget-Richtlinie beschäftigen (kurz: Budgetnehmerin)</w:t>
      </w:r>
      <w:r w:rsidR="00811081" w:rsidRPr="005344BF">
        <w:rPr>
          <w:rFonts w:cs="Arial"/>
          <w:sz w:val="26"/>
          <w:szCs w:val="26"/>
        </w:rPr>
        <w:t>.</w:t>
      </w:r>
    </w:p>
    <w:p w:rsidR="001635A3" w:rsidRPr="005344BF" w:rsidRDefault="00B51606" w:rsidP="00F64D0B">
      <w:pPr>
        <w:pStyle w:val="Listenabsatz"/>
        <w:numPr>
          <w:ilvl w:val="0"/>
          <w:numId w:val="11"/>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 xml:space="preserve">Anspruchsberechtigt für die Geltendmachung einer Aufwandsentschädigung sind </w:t>
      </w:r>
      <w:r w:rsidR="001635A3" w:rsidRPr="005344BF">
        <w:rPr>
          <w:rFonts w:cs="Arial"/>
          <w:sz w:val="26"/>
          <w:szCs w:val="26"/>
        </w:rPr>
        <w:t xml:space="preserve">Personen, die </w:t>
      </w:r>
      <w:r w:rsidR="00D02237" w:rsidRPr="005344BF">
        <w:rPr>
          <w:rFonts w:cs="Arial"/>
          <w:sz w:val="26"/>
          <w:szCs w:val="26"/>
        </w:rPr>
        <w:t xml:space="preserve">ehrenamtlich und </w:t>
      </w:r>
      <w:r w:rsidR="001635A3" w:rsidRPr="005344BF">
        <w:rPr>
          <w:rFonts w:cs="Arial"/>
          <w:sz w:val="26"/>
          <w:szCs w:val="26"/>
        </w:rPr>
        <w:t>nicht im Rahmen ihrer beruflichen Tä</w:t>
      </w:r>
      <w:r w:rsidR="00AA1891" w:rsidRPr="005344BF">
        <w:rPr>
          <w:rFonts w:cs="Arial"/>
          <w:sz w:val="26"/>
          <w:szCs w:val="26"/>
        </w:rPr>
        <w:t xml:space="preserve">tigkeit </w:t>
      </w:r>
      <w:r w:rsidR="00B92AB9" w:rsidRPr="005344BF">
        <w:rPr>
          <w:rFonts w:cs="Arial"/>
          <w:sz w:val="26"/>
          <w:szCs w:val="26"/>
        </w:rPr>
        <w:t xml:space="preserve">persönlich </w:t>
      </w:r>
      <w:r w:rsidR="00AA1891" w:rsidRPr="005344BF">
        <w:rPr>
          <w:rFonts w:cs="Arial"/>
          <w:sz w:val="26"/>
          <w:szCs w:val="26"/>
        </w:rPr>
        <w:t>an Sitzungen teilnehmen</w:t>
      </w:r>
      <w:r w:rsidR="00B92AB9" w:rsidRPr="005344BF">
        <w:rPr>
          <w:rFonts w:cs="Arial"/>
          <w:sz w:val="26"/>
          <w:szCs w:val="26"/>
        </w:rPr>
        <w:t xml:space="preserve">. Per Videokonferenz teilnehmende Personen gelten nicht </w:t>
      </w:r>
      <w:r w:rsidR="00AA1891" w:rsidRPr="005344BF">
        <w:rPr>
          <w:rFonts w:cs="Arial"/>
          <w:sz w:val="26"/>
          <w:szCs w:val="26"/>
        </w:rPr>
        <w:t xml:space="preserve">als Anspruchsberechtigte. </w:t>
      </w:r>
      <w:r w:rsidR="00196F4B" w:rsidRPr="005344BF">
        <w:rPr>
          <w:rFonts w:cs="Arial"/>
          <w:sz w:val="26"/>
          <w:szCs w:val="26"/>
        </w:rPr>
        <w:br/>
      </w:r>
    </w:p>
    <w:p w:rsidR="00611FA4" w:rsidRPr="005344BF" w:rsidRDefault="00F85677" w:rsidP="00F64D0B">
      <w:pPr>
        <w:pStyle w:val="berschrift2"/>
        <w:spacing w:line="360" w:lineRule="auto"/>
        <w:rPr>
          <w:b/>
          <w:color w:val="auto"/>
        </w:rPr>
      </w:pPr>
      <w:bookmarkStart w:id="7" w:name="_Toc163025273"/>
      <w:bookmarkEnd w:id="5"/>
      <w:r w:rsidRPr="005344BF">
        <w:rPr>
          <w:b/>
          <w:color w:val="auto"/>
        </w:rPr>
        <w:t xml:space="preserve">§ </w:t>
      </w:r>
      <w:r w:rsidR="006F384E" w:rsidRPr="005344BF">
        <w:rPr>
          <w:b/>
          <w:color w:val="auto"/>
        </w:rPr>
        <w:t>3</w:t>
      </w:r>
      <w:r w:rsidR="00611FA4" w:rsidRPr="005344BF">
        <w:rPr>
          <w:b/>
          <w:color w:val="auto"/>
        </w:rPr>
        <w:t xml:space="preserve"> </w:t>
      </w:r>
      <w:r w:rsidR="005851CD" w:rsidRPr="005344BF">
        <w:rPr>
          <w:b/>
          <w:color w:val="auto"/>
        </w:rPr>
        <w:t>Höhe</w:t>
      </w:r>
      <w:bookmarkEnd w:id="7"/>
    </w:p>
    <w:p w:rsidR="006F384E" w:rsidRPr="005344BF" w:rsidRDefault="006F384E" w:rsidP="00F64D0B">
      <w:pPr>
        <w:pStyle w:val="Listenabsatz"/>
        <w:numPr>
          <w:ilvl w:val="0"/>
          <w:numId w:val="12"/>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 xml:space="preserve">Aufwendungen nach § 1 Abs. 3 lit. a werden der Dienstleisterin in der Höhe des für sie für die jeweilige mobile Unterstützungsleistung geltenden Tarifes abgegolten. </w:t>
      </w:r>
      <w:r w:rsidR="00B012D7" w:rsidRPr="005344BF">
        <w:rPr>
          <w:rFonts w:cs="Arial"/>
          <w:sz w:val="26"/>
          <w:szCs w:val="26"/>
        </w:rPr>
        <w:t xml:space="preserve">Die kleinste abrechenbare Unterstützungseinheit beträgt 30 Minuten. Darüberhinausgehende Zeiten sind in einer 15 Minuten Taktung abzurechnen. </w:t>
      </w:r>
    </w:p>
    <w:p w:rsidR="00811081" w:rsidRDefault="00B012D7" w:rsidP="00F64D0B">
      <w:pPr>
        <w:pStyle w:val="Listenabsatz"/>
        <w:numPr>
          <w:ilvl w:val="0"/>
          <w:numId w:val="12"/>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Aufwendungen nach § 1 Abs. 3 lit. b werden der Budgetnehmerin in der Höhe folgender für das</w:t>
      </w:r>
      <w:r w:rsidR="00D3165D" w:rsidRPr="005344BF">
        <w:rPr>
          <w:rFonts w:cs="Arial"/>
          <w:sz w:val="26"/>
          <w:szCs w:val="26"/>
        </w:rPr>
        <w:t xml:space="preserve"> persönliche Budget im Jahr 2024</w:t>
      </w:r>
      <w:r w:rsidRPr="005344BF">
        <w:rPr>
          <w:rFonts w:cs="Arial"/>
          <w:sz w:val="26"/>
          <w:szCs w:val="26"/>
        </w:rPr>
        <w:t xml:space="preserve"> </w:t>
      </w:r>
      <w:r w:rsidR="00D02237" w:rsidRPr="005344BF">
        <w:rPr>
          <w:rFonts w:cs="Arial"/>
          <w:sz w:val="26"/>
          <w:szCs w:val="26"/>
        </w:rPr>
        <w:t>geltender</w:t>
      </w:r>
      <w:r w:rsidRPr="005344BF">
        <w:rPr>
          <w:rFonts w:cs="Arial"/>
          <w:sz w:val="26"/>
          <w:szCs w:val="26"/>
        </w:rPr>
        <w:t xml:space="preserve"> Tarife abgegolten:</w:t>
      </w:r>
    </w:p>
    <w:p w:rsidR="00903D03" w:rsidRDefault="00903D03" w:rsidP="00F64D0B">
      <w:pPr>
        <w:pStyle w:val="Listenabsatz"/>
        <w:numPr>
          <w:ilvl w:val="1"/>
          <w:numId w:val="12"/>
        </w:numPr>
        <w:autoSpaceDE w:val="0"/>
        <w:autoSpaceDN w:val="0"/>
        <w:adjustRightInd w:val="0"/>
        <w:spacing w:after="120" w:line="360" w:lineRule="auto"/>
        <w:contextualSpacing w:val="0"/>
        <w:rPr>
          <w:rFonts w:cs="Arial"/>
          <w:sz w:val="26"/>
          <w:szCs w:val="26"/>
        </w:rPr>
      </w:pPr>
      <w:r w:rsidRPr="005344BF">
        <w:rPr>
          <w:rFonts w:cs="Arial"/>
          <w:sz w:val="26"/>
          <w:szCs w:val="26"/>
        </w:rPr>
        <w:t xml:space="preserve">Persönliche Assistenz: </w:t>
      </w:r>
      <w:r w:rsidRPr="005344BF">
        <w:rPr>
          <w:rFonts w:cs="Arial"/>
          <w:sz w:val="26"/>
          <w:szCs w:val="26"/>
        </w:rPr>
        <w:tab/>
        <w:t>€ 38,70 pro</w:t>
      </w:r>
      <w:r>
        <w:rPr>
          <w:rFonts w:cs="Arial"/>
          <w:sz w:val="26"/>
          <w:szCs w:val="26"/>
        </w:rPr>
        <w:t xml:space="preserve"> Stunde</w:t>
      </w:r>
    </w:p>
    <w:p w:rsidR="00903D03" w:rsidRPr="005344BF" w:rsidRDefault="00903D03" w:rsidP="00F64D0B">
      <w:pPr>
        <w:pStyle w:val="Listenabsatz"/>
        <w:numPr>
          <w:ilvl w:val="1"/>
          <w:numId w:val="12"/>
        </w:numPr>
        <w:autoSpaceDE w:val="0"/>
        <w:autoSpaceDN w:val="0"/>
        <w:adjustRightInd w:val="0"/>
        <w:spacing w:after="120" w:line="360" w:lineRule="auto"/>
        <w:contextualSpacing w:val="0"/>
        <w:rPr>
          <w:rFonts w:cs="Arial"/>
          <w:sz w:val="26"/>
          <w:szCs w:val="26"/>
        </w:rPr>
      </w:pPr>
      <w:r w:rsidRPr="005344BF">
        <w:rPr>
          <w:rFonts w:cs="Arial"/>
          <w:sz w:val="26"/>
          <w:szCs w:val="26"/>
        </w:rPr>
        <w:t xml:space="preserve">Mobile Begleitung: </w:t>
      </w:r>
      <w:r w:rsidRPr="005344BF">
        <w:rPr>
          <w:rFonts w:cs="Arial"/>
          <w:sz w:val="26"/>
          <w:szCs w:val="26"/>
        </w:rPr>
        <w:tab/>
        <w:t>€ 50,20 pro</w:t>
      </w:r>
      <w:r>
        <w:rPr>
          <w:rFonts w:cs="Arial"/>
          <w:sz w:val="26"/>
          <w:szCs w:val="26"/>
        </w:rPr>
        <w:t xml:space="preserve"> Stunde</w:t>
      </w:r>
    </w:p>
    <w:p w:rsidR="00B012D7" w:rsidRPr="005344BF" w:rsidRDefault="009253B5" w:rsidP="00F64D0B">
      <w:pPr>
        <w:autoSpaceDE w:val="0"/>
        <w:autoSpaceDN w:val="0"/>
        <w:adjustRightInd w:val="0"/>
        <w:spacing w:after="120" w:line="360" w:lineRule="auto"/>
        <w:ind w:left="426"/>
        <w:rPr>
          <w:rFonts w:cs="Arial"/>
          <w:sz w:val="26"/>
          <w:szCs w:val="26"/>
        </w:rPr>
      </w:pPr>
      <w:r w:rsidRPr="005344BF">
        <w:rPr>
          <w:rFonts w:cs="Arial"/>
          <w:sz w:val="26"/>
          <w:szCs w:val="26"/>
        </w:rPr>
        <w:t>Die kleinste abrechenbare Unterstützungseinheit beträgt 30 Minuten. Darüberhinausgehende Zeiten sind in einer 15 Minuten Taktung abzurechnen.</w:t>
      </w:r>
    </w:p>
    <w:p w:rsidR="009253B5" w:rsidRPr="005344BF" w:rsidRDefault="009253B5" w:rsidP="00F64D0B">
      <w:pPr>
        <w:pStyle w:val="Listenabsatz"/>
        <w:numPr>
          <w:ilvl w:val="0"/>
          <w:numId w:val="12"/>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Die Höhe der Aufwandsentschädigung beträgt für Personen, die in Innsbruck wohnhaft sind</w:t>
      </w:r>
      <w:r w:rsidR="00723F20" w:rsidRPr="005344BF">
        <w:rPr>
          <w:rFonts w:cs="Arial"/>
          <w:sz w:val="26"/>
          <w:szCs w:val="26"/>
        </w:rPr>
        <w:t xml:space="preserve">, € </w:t>
      </w:r>
      <w:r w:rsidRPr="005344BF">
        <w:rPr>
          <w:rFonts w:cs="Arial"/>
          <w:sz w:val="26"/>
          <w:szCs w:val="26"/>
        </w:rPr>
        <w:t>35,00 pro Sitzung. Für Personen, die außerhalb von Innsbruck wohnhaft sind, beträgt die Aufwandsentschädigung € 45,00 pro Sitzung.</w:t>
      </w:r>
    </w:p>
    <w:p w:rsidR="006F384E" w:rsidRDefault="006F384E" w:rsidP="00F64D0B">
      <w:pPr>
        <w:autoSpaceDE w:val="0"/>
        <w:autoSpaceDN w:val="0"/>
        <w:adjustRightInd w:val="0"/>
        <w:spacing w:after="0" w:line="240" w:lineRule="auto"/>
      </w:pPr>
    </w:p>
    <w:p w:rsidR="005851CD" w:rsidRPr="005344BF" w:rsidRDefault="005851CD" w:rsidP="00F64D0B">
      <w:pPr>
        <w:pStyle w:val="berschrift2"/>
        <w:spacing w:line="360" w:lineRule="auto"/>
        <w:rPr>
          <w:rFonts w:cs="Arial"/>
          <w:b/>
          <w:color w:val="auto"/>
        </w:rPr>
      </w:pPr>
      <w:bookmarkStart w:id="8" w:name="_Toc163025274"/>
      <w:r w:rsidRPr="005344BF">
        <w:rPr>
          <w:rFonts w:cs="Arial"/>
          <w:b/>
          <w:color w:val="auto"/>
        </w:rPr>
        <w:t xml:space="preserve">§ </w:t>
      </w:r>
      <w:r w:rsidR="00030A2B" w:rsidRPr="005344BF">
        <w:rPr>
          <w:rFonts w:cs="Arial"/>
          <w:b/>
          <w:color w:val="auto"/>
        </w:rPr>
        <w:t>4</w:t>
      </w:r>
      <w:r w:rsidRPr="005344BF">
        <w:rPr>
          <w:rFonts w:cs="Arial"/>
          <w:b/>
          <w:color w:val="auto"/>
        </w:rPr>
        <w:t xml:space="preserve"> Verfahren</w:t>
      </w:r>
      <w:bookmarkEnd w:id="8"/>
    </w:p>
    <w:p w:rsidR="00D3420C" w:rsidRPr="005344BF" w:rsidRDefault="00D02237"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Die</w:t>
      </w:r>
      <w:r w:rsidR="00030A2B" w:rsidRPr="005344BF">
        <w:rPr>
          <w:rFonts w:cs="Arial"/>
          <w:sz w:val="26"/>
          <w:szCs w:val="26"/>
        </w:rPr>
        <w:t xml:space="preserve"> Anträge</w:t>
      </w:r>
      <w:r w:rsidR="00A4702E" w:rsidRPr="005344BF">
        <w:rPr>
          <w:rFonts w:cs="Arial"/>
          <w:sz w:val="26"/>
          <w:szCs w:val="26"/>
        </w:rPr>
        <w:t xml:space="preserve"> auf </w:t>
      </w:r>
      <w:r w:rsidR="005F71D3" w:rsidRPr="005344BF">
        <w:rPr>
          <w:rFonts w:cs="Arial"/>
          <w:sz w:val="26"/>
          <w:szCs w:val="26"/>
        </w:rPr>
        <w:t xml:space="preserve">Abgeltung der Aufwendungen </w:t>
      </w:r>
      <w:r w:rsidR="00D1707F" w:rsidRPr="005344BF">
        <w:rPr>
          <w:rFonts w:cs="Arial"/>
          <w:sz w:val="26"/>
          <w:szCs w:val="26"/>
        </w:rPr>
        <w:t xml:space="preserve">bzw. </w:t>
      </w:r>
      <w:r w:rsidRPr="005344BF">
        <w:rPr>
          <w:rFonts w:cs="Arial"/>
          <w:sz w:val="26"/>
          <w:szCs w:val="26"/>
        </w:rPr>
        <w:t xml:space="preserve">der </w:t>
      </w:r>
      <w:r w:rsidR="00D1707F" w:rsidRPr="005344BF">
        <w:rPr>
          <w:rFonts w:cs="Arial"/>
          <w:sz w:val="26"/>
          <w:szCs w:val="26"/>
        </w:rPr>
        <w:t xml:space="preserve">Aufwandsentschädigung </w:t>
      </w:r>
      <w:r w:rsidR="00030A2B" w:rsidRPr="005344BF">
        <w:rPr>
          <w:rFonts w:cs="Arial"/>
          <w:sz w:val="26"/>
          <w:szCs w:val="26"/>
        </w:rPr>
        <w:t>sind</w:t>
      </w:r>
      <w:r w:rsidR="005F71D3" w:rsidRPr="005344BF">
        <w:rPr>
          <w:rFonts w:cs="Arial"/>
          <w:sz w:val="26"/>
          <w:szCs w:val="26"/>
        </w:rPr>
        <w:t xml:space="preserve"> beim Land Tirol</w:t>
      </w:r>
      <w:r w:rsidR="00D3420C" w:rsidRPr="005344BF">
        <w:rPr>
          <w:rFonts w:cs="Arial"/>
          <w:sz w:val="26"/>
          <w:szCs w:val="26"/>
        </w:rPr>
        <w:t xml:space="preserve">, </w:t>
      </w:r>
      <w:r w:rsidR="00A4702E" w:rsidRPr="005344BF">
        <w:rPr>
          <w:rFonts w:cs="Arial"/>
          <w:sz w:val="26"/>
          <w:szCs w:val="26"/>
        </w:rPr>
        <w:t xml:space="preserve">Abteilung </w:t>
      </w:r>
      <w:r w:rsidR="005F71D3" w:rsidRPr="005344BF">
        <w:rPr>
          <w:rFonts w:cs="Arial"/>
          <w:sz w:val="26"/>
          <w:szCs w:val="26"/>
        </w:rPr>
        <w:t>Inklusion und Kinder- und Jugendhilfe</w:t>
      </w:r>
      <w:r w:rsidR="00D3420C" w:rsidRPr="005344BF">
        <w:rPr>
          <w:rFonts w:cs="Arial"/>
          <w:sz w:val="26"/>
          <w:szCs w:val="26"/>
        </w:rPr>
        <w:t xml:space="preserve">, bis spätestens </w:t>
      </w:r>
      <w:r w:rsidR="005F71D3" w:rsidRPr="005344BF">
        <w:rPr>
          <w:rFonts w:cs="Arial"/>
          <w:sz w:val="26"/>
          <w:szCs w:val="26"/>
        </w:rPr>
        <w:t>15</w:t>
      </w:r>
      <w:r w:rsidR="00D3165D" w:rsidRPr="005344BF">
        <w:rPr>
          <w:rFonts w:cs="Arial"/>
          <w:sz w:val="26"/>
          <w:szCs w:val="26"/>
        </w:rPr>
        <w:t xml:space="preserve">. </w:t>
      </w:r>
      <w:r w:rsidR="005F71D3" w:rsidRPr="005344BF">
        <w:rPr>
          <w:rFonts w:cs="Arial"/>
          <w:sz w:val="26"/>
          <w:szCs w:val="26"/>
        </w:rPr>
        <w:t>Februar</w:t>
      </w:r>
      <w:r w:rsidR="00D3420C" w:rsidRPr="005344BF">
        <w:rPr>
          <w:rFonts w:cs="Arial"/>
          <w:sz w:val="26"/>
          <w:szCs w:val="26"/>
        </w:rPr>
        <w:t xml:space="preserve"> 202</w:t>
      </w:r>
      <w:r w:rsidR="008428D0" w:rsidRPr="005344BF">
        <w:rPr>
          <w:rFonts w:cs="Arial"/>
          <w:sz w:val="26"/>
          <w:szCs w:val="26"/>
        </w:rPr>
        <w:t>5</w:t>
      </w:r>
      <w:r w:rsidR="00D3420C" w:rsidRPr="005344BF">
        <w:rPr>
          <w:rFonts w:cs="Arial"/>
          <w:sz w:val="26"/>
          <w:szCs w:val="26"/>
        </w:rPr>
        <w:t xml:space="preserve"> schriftlich einzubringen.</w:t>
      </w:r>
      <w:r w:rsidR="00030A2B" w:rsidRPr="005344BF">
        <w:rPr>
          <w:rFonts w:cs="Arial"/>
          <w:sz w:val="26"/>
          <w:szCs w:val="26"/>
        </w:rPr>
        <w:t xml:space="preserve"> </w:t>
      </w:r>
    </w:p>
    <w:p w:rsidR="00D3420C" w:rsidRDefault="00D1707F"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Der</w:t>
      </w:r>
      <w:r w:rsidR="00D3420C" w:rsidRPr="005344BF">
        <w:rPr>
          <w:rFonts w:cs="Arial"/>
          <w:sz w:val="26"/>
          <w:szCs w:val="26"/>
        </w:rPr>
        <w:t xml:space="preserve"> Antrag </w:t>
      </w:r>
      <w:proofErr w:type="gramStart"/>
      <w:r w:rsidR="001B13A6" w:rsidRPr="005344BF">
        <w:rPr>
          <w:rFonts w:cs="Arial"/>
          <w:sz w:val="26"/>
          <w:szCs w:val="26"/>
        </w:rPr>
        <w:t>der Dienstleister</w:t>
      </w:r>
      <w:r w:rsidR="00E6201A" w:rsidRPr="005344BF">
        <w:rPr>
          <w:rFonts w:cs="Arial"/>
          <w:sz w:val="26"/>
          <w:szCs w:val="26"/>
        </w:rPr>
        <w:t>in</w:t>
      </w:r>
      <w:proofErr w:type="gramEnd"/>
      <w:r w:rsidR="00123AE3" w:rsidRPr="005344BF">
        <w:rPr>
          <w:rFonts w:cs="Arial"/>
          <w:sz w:val="26"/>
          <w:szCs w:val="26"/>
        </w:rPr>
        <w:t xml:space="preserve"> </w:t>
      </w:r>
      <w:r w:rsidRPr="005344BF">
        <w:rPr>
          <w:rFonts w:cs="Arial"/>
          <w:sz w:val="26"/>
          <w:szCs w:val="26"/>
        </w:rPr>
        <w:t>hat</w:t>
      </w:r>
      <w:r w:rsidR="00D3420C" w:rsidRPr="005344BF">
        <w:rPr>
          <w:rFonts w:cs="Arial"/>
          <w:sz w:val="26"/>
          <w:szCs w:val="26"/>
        </w:rPr>
        <w:t xml:space="preserve"> folgende </w:t>
      </w:r>
      <w:r w:rsidRPr="005344BF">
        <w:rPr>
          <w:rFonts w:cs="Arial"/>
          <w:sz w:val="26"/>
          <w:szCs w:val="26"/>
        </w:rPr>
        <w:t>Angaben zu enthalten</w:t>
      </w:r>
      <w:r w:rsidR="00D3420C" w:rsidRPr="005344BF">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Name des Menschen mit Behinderungen, für den die mobile Unterstützungsleistung erbracht wurde</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Angaben zu dem Datum der Sitzungen und dem jeweilig erbrachten Stundenausmaß</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verbindliche Erklärung des vertretungsbefugten Organes, dass die Stunden nicht über die dem Menschen mit Behinderungen gewährte Leistung nach dem TTHG abgerechnet werden/wurden</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verbindliche Erklärung des vertretungsbefugten Organes, dass die Stunden im Rahmen der Teilnahme an den Sitzungen erbracht wurden</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Daten der Bankverbindung</w:t>
      </w:r>
      <w:r>
        <w:rPr>
          <w:rFonts w:cs="Arial"/>
          <w:sz w:val="26"/>
          <w:szCs w:val="26"/>
        </w:rPr>
        <w:t>.</w:t>
      </w:r>
    </w:p>
    <w:p w:rsidR="0091119C" w:rsidRDefault="0091119C" w:rsidP="00F64D0B">
      <w:pPr>
        <w:spacing w:line="360" w:lineRule="auto"/>
        <w:rPr>
          <w:rFonts w:cs="Arial"/>
          <w:sz w:val="26"/>
          <w:szCs w:val="26"/>
        </w:rPr>
      </w:pPr>
    </w:p>
    <w:p w:rsidR="00614E86" w:rsidRPr="005344BF" w:rsidRDefault="00614E86" w:rsidP="00F64D0B">
      <w:pPr>
        <w:spacing w:line="360" w:lineRule="auto"/>
        <w:rPr>
          <w:rFonts w:cs="Arial"/>
          <w:sz w:val="26"/>
          <w:szCs w:val="26"/>
        </w:rPr>
      </w:pPr>
    </w:p>
    <w:p w:rsidR="00A41747" w:rsidRDefault="00D1707F"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Der Antrag der Budgetnehmerin hat folgende Angaben zu enthalten:</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Angaben zu dem Datum der Sitzungen und dem jeweilig von der Arbeitnehmerin erbrachten Stundenausmaß</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verbindliche Erklärung, dass das Ausmaß der Unterstützung das der Budgetnehmerin nach dem TTHG genehmigte Stundenausmaß überschreitet</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verbindliche Erklärung, dass die Stunden im Rahmen der Teilnahme an den Sitzungen erbracht wurden</w:t>
      </w:r>
      <w:r>
        <w:rPr>
          <w:rFonts w:cs="Arial"/>
          <w:sz w:val="26"/>
          <w:szCs w:val="26"/>
        </w:rPr>
        <w:t>,</w:t>
      </w:r>
    </w:p>
    <w:p w:rsidR="00B92AB9" w:rsidRP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Daten der Bankverbindung</w:t>
      </w:r>
    </w:p>
    <w:p w:rsidR="00D1707F" w:rsidRDefault="00D1707F"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Der Antrag auf Aufwandsentschädigung hat folgende Angaben zu enthalten:</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Datum der Sitzungen, an denen teilgenommen wurde</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Angaben zum Wohnort</w:t>
      </w:r>
      <w:r>
        <w:rPr>
          <w:rFonts w:cs="Arial"/>
          <w:sz w:val="26"/>
          <w:szCs w:val="26"/>
        </w:rPr>
        <w:t>,</w:t>
      </w:r>
    </w:p>
    <w:p w:rsid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verbindliche Erklärung, dass die Teilnahme an den Sitzungen ehrenamtlich und nicht im Rahmen der beruflichen Tätigkeit erfolgt ist</w:t>
      </w:r>
      <w:r>
        <w:rPr>
          <w:rFonts w:cs="Arial"/>
          <w:sz w:val="26"/>
          <w:szCs w:val="26"/>
        </w:rPr>
        <w:t>,</w:t>
      </w:r>
    </w:p>
    <w:p w:rsidR="00B92AB9" w:rsidRPr="00903D03" w:rsidRDefault="00903D03" w:rsidP="00F64D0B">
      <w:pPr>
        <w:pStyle w:val="Listenabsatz"/>
        <w:numPr>
          <w:ilvl w:val="1"/>
          <w:numId w:val="15"/>
        </w:numPr>
        <w:autoSpaceDE w:val="0"/>
        <w:autoSpaceDN w:val="0"/>
        <w:adjustRightInd w:val="0"/>
        <w:spacing w:after="120" w:line="360" w:lineRule="auto"/>
        <w:contextualSpacing w:val="0"/>
        <w:rPr>
          <w:rFonts w:cs="Arial"/>
          <w:sz w:val="26"/>
          <w:szCs w:val="26"/>
        </w:rPr>
      </w:pPr>
      <w:r w:rsidRPr="005344BF">
        <w:rPr>
          <w:rFonts w:cs="Arial"/>
          <w:sz w:val="26"/>
          <w:szCs w:val="26"/>
        </w:rPr>
        <w:t>Daten der Bankverbindung</w:t>
      </w:r>
      <w:r>
        <w:rPr>
          <w:rFonts w:cs="Arial"/>
          <w:sz w:val="26"/>
          <w:szCs w:val="26"/>
        </w:rPr>
        <w:t>.</w:t>
      </w:r>
    </w:p>
    <w:p w:rsidR="006C71A9" w:rsidRPr="005344BF" w:rsidRDefault="006C71A9"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Bei Vorliegen der Anspruchsvoraussetzungen und fristgerechter Antragstellung erfolgt eine Einmalzahlung seitens des Landes Tirol.</w:t>
      </w:r>
    </w:p>
    <w:p w:rsidR="006C71A9" w:rsidRPr="005344BF" w:rsidRDefault="006C71A9" w:rsidP="00F64D0B">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Bei zu Unrecht erhaltenen Zahlungen erfolg</w:t>
      </w:r>
      <w:r w:rsidR="001E00F6" w:rsidRPr="005344BF">
        <w:rPr>
          <w:rFonts w:cs="Arial"/>
          <w:sz w:val="26"/>
          <w:szCs w:val="26"/>
        </w:rPr>
        <w:t>t eine Rückforderung seitens des Landes Tirol</w:t>
      </w:r>
      <w:r w:rsidRPr="005344BF">
        <w:rPr>
          <w:rFonts w:cs="Arial"/>
          <w:sz w:val="26"/>
          <w:szCs w:val="26"/>
        </w:rPr>
        <w:t xml:space="preserve">. </w:t>
      </w:r>
    </w:p>
    <w:p w:rsidR="009B2F5F" w:rsidRDefault="001E00F6" w:rsidP="009B2F5F">
      <w:pPr>
        <w:pStyle w:val="Listenabsatz"/>
        <w:numPr>
          <w:ilvl w:val="0"/>
          <w:numId w:val="15"/>
        </w:numPr>
        <w:autoSpaceDE w:val="0"/>
        <w:autoSpaceDN w:val="0"/>
        <w:adjustRightInd w:val="0"/>
        <w:spacing w:after="120" w:line="360" w:lineRule="auto"/>
        <w:ind w:left="426" w:hanging="426"/>
        <w:contextualSpacing w:val="0"/>
        <w:rPr>
          <w:rFonts w:cs="Arial"/>
          <w:sz w:val="26"/>
          <w:szCs w:val="26"/>
        </w:rPr>
      </w:pPr>
      <w:r w:rsidRPr="005344BF">
        <w:rPr>
          <w:rFonts w:cs="Arial"/>
          <w:sz w:val="26"/>
          <w:szCs w:val="26"/>
        </w:rPr>
        <w:t>Auf Anfrage des Landes Tirol</w:t>
      </w:r>
      <w:r w:rsidR="006C71A9" w:rsidRPr="005344BF">
        <w:rPr>
          <w:rFonts w:cs="Arial"/>
          <w:sz w:val="26"/>
          <w:szCs w:val="26"/>
        </w:rPr>
        <w:t xml:space="preserve"> </w:t>
      </w:r>
      <w:r w:rsidRPr="005344BF">
        <w:rPr>
          <w:rFonts w:cs="Arial"/>
          <w:sz w:val="26"/>
          <w:szCs w:val="26"/>
        </w:rPr>
        <w:t xml:space="preserve">ist </w:t>
      </w:r>
      <w:r w:rsidR="006C71A9" w:rsidRPr="005344BF">
        <w:rPr>
          <w:rFonts w:cs="Arial"/>
          <w:sz w:val="26"/>
          <w:szCs w:val="26"/>
        </w:rPr>
        <w:t xml:space="preserve">Einblick in die jeweiligen relevanten Unterlagen zu gewähren bzw. </w:t>
      </w:r>
      <w:r w:rsidRPr="005344BF">
        <w:rPr>
          <w:rFonts w:cs="Arial"/>
          <w:sz w:val="26"/>
          <w:szCs w:val="26"/>
        </w:rPr>
        <w:t xml:space="preserve">sind </w:t>
      </w:r>
      <w:r w:rsidR="006C71A9" w:rsidRPr="005344BF">
        <w:rPr>
          <w:rFonts w:cs="Arial"/>
          <w:sz w:val="26"/>
          <w:szCs w:val="26"/>
        </w:rPr>
        <w:t>entsprechende schriftliche Nachweise zur Verfügung zu</w:t>
      </w:r>
      <w:r w:rsidR="00126709">
        <w:rPr>
          <w:rFonts w:cs="Arial"/>
          <w:sz w:val="26"/>
          <w:szCs w:val="26"/>
        </w:rPr>
        <w:t xml:space="preserve"> stellen.</w:t>
      </w:r>
    </w:p>
    <w:p w:rsidR="00AB5029" w:rsidRPr="003845C6" w:rsidRDefault="00AB5029" w:rsidP="00AB5029">
      <w:pPr>
        <w:pStyle w:val="Listenabsatz"/>
        <w:autoSpaceDE w:val="0"/>
        <w:autoSpaceDN w:val="0"/>
        <w:adjustRightInd w:val="0"/>
        <w:spacing w:after="120" w:line="360" w:lineRule="auto"/>
        <w:ind w:left="426"/>
        <w:contextualSpacing w:val="0"/>
        <w:rPr>
          <w:rFonts w:cs="Arial"/>
          <w:b/>
          <w:sz w:val="26"/>
          <w:szCs w:val="26"/>
        </w:rPr>
      </w:pPr>
    </w:p>
    <w:p w:rsidR="009B2F5F" w:rsidRPr="003845C6" w:rsidRDefault="009B2F5F" w:rsidP="003845C6">
      <w:pPr>
        <w:pStyle w:val="berschrift2"/>
        <w:rPr>
          <w:b/>
          <w:color w:val="auto"/>
        </w:rPr>
      </w:pPr>
      <w:bookmarkStart w:id="9" w:name="_Toc163025275"/>
      <w:r w:rsidRPr="003845C6">
        <w:rPr>
          <w:b/>
          <w:color w:val="auto"/>
        </w:rPr>
        <w:t>§ 5 Inkrafttreten</w:t>
      </w:r>
      <w:bookmarkEnd w:id="9"/>
      <w:r w:rsidRPr="003845C6">
        <w:rPr>
          <w:b/>
          <w:color w:val="auto"/>
        </w:rPr>
        <w:t xml:space="preserve"> </w:t>
      </w:r>
    </w:p>
    <w:p w:rsidR="009B2F5F" w:rsidRDefault="009B2F5F" w:rsidP="009B2F5F">
      <w:pPr>
        <w:pStyle w:val="Listenabsatz"/>
        <w:numPr>
          <w:ilvl w:val="3"/>
          <w:numId w:val="20"/>
        </w:numPr>
        <w:autoSpaceDE w:val="0"/>
        <w:autoSpaceDN w:val="0"/>
        <w:adjustRightInd w:val="0"/>
        <w:spacing w:after="120" w:line="360" w:lineRule="auto"/>
        <w:ind w:left="284"/>
        <w:rPr>
          <w:rFonts w:cs="Arial"/>
          <w:sz w:val="26"/>
          <w:szCs w:val="26"/>
        </w:rPr>
      </w:pPr>
      <w:r>
        <w:rPr>
          <w:rFonts w:cs="Arial"/>
          <w:sz w:val="26"/>
          <w:szCs w:val="26"/>
        </w:rPr>
        <w:t xml:space="preserve"> </w:t>
      </w:r>
      <w:r w:rsidRPr="009B2F5F">
        <w:rPr>
          <w:rFonts w:cs="Arial"/>
          <w:sz w:val="26"/>
          <w:szCs w:val="26"/>
        </w:rPr>
        <w:t>Diese Richtlinie tritt mit 1. Jänner 2024 in Kraft</w:t>
      </w:r>
    </w:p>
    <w:p w:rsidR="009B2F5F" w:rsidRDefault="009B2F5F" w:rsidP="009B2F5F">
      <w:pPr>
        <w:pStyle w:val="Listenabsatz"/>
        <w:autoSpaceDE w:val="0"/>
        <w:autoSpaceDN w:val="0"/>
        <w:adjustRightInd w:val="0"/>
        <w:spacing w:after="120" w:line="360" w:lineRule="auto"/>
        <w:ind w:left="284"/>
        <w:rPr>
          <w:rFonts w:cs="Arial"/>
          <w:sz w:val="26"/>
          <w:szCs w:val="26"/>
        </w:rPr>
      </w:pPr>
    </w:p>
    <w:p w:rsidR="009B2F5F" w:rsidRPr="00AB5029" w:rsidRDefault="009B2F5F" w:rsidP="009B2F5F">
      <w:pPr>
        <w:pStyle w:val="Listenabsatz"/>
        <w:numPr>
          <w:ilvl w:val="3"/>
          <w:numId w:val="20"/>
        </w:numPr>
        <w:autoSpaceDE w:val="0"/>
        <w:autoSpaceDN w:val="0"/>
        <w:adjustRightInd w:val="0"/>
        <w:spacing w:after="120" w:line="360" w:lineRule="auto"/>
        <w:ind w:left="284"/>
        <w:rPr>
          <w:rFonts w:cs="Arial"/>
          <w:sz w:val="26"/>
          <w:szCs w:val="26"/>
        </w:rPr>
      </w:pPr>
      <w:r>
        <w:rPr>
          <w:rFonts w:cs="Arial"/>
          <w:sz w:val="26"/>
          <w:szCs w:val="26"/>
        </w:rPr>
        <w:t xml:space="preserve"> Diese Richtlinie liegt beim Amt der Tiroler Landesregierung, </w:t>
      </w:r>
      <w:r w:rsidRPr="006F779C">
        <w:rPr>
          <w:rFonts w:cs="Arial"/>
          <w:sz w:val="26"/>
          <w:szCs w:val="26"/>
          <w:lang w:val="de-DE"/>
        </w:rPr>
        <w:t xml:space="preserve">Abteilung Inklusion und Kinder- und Jugendhilfe, zur Einsichtnahme auf und ist auf der Homepage des Amtes der Tiroler Landesregierung, Abteilung Inklusion und Kinder- und Jugendhilfe, unter </w:t>
      </w:r>
      <w:hyperlink r:id="rId7" w:history="1">
        <w:proofErr w:type="spellStart"/>
        <w:r w:rsidR="006D2F2E">
          <w:rPr>
            <w:rStyle w:val="Hyperlink"/>
            <w:sz w:val="26"/>
            <w:szCs w:val="26"/>
          </w:rPr>
          <w:t>Richtlini</w:t>
        </w:r>
        <w:r w:rsidR="006D2F2E">
          <w:rPr>
            <w:rStyle w:val="Hyperlink"/>
            <w:sz w:val="26"/>
            <w:szCs w:val="26"/>
          </w:rPr>
          <w:t>e</w:t>
        </w:r>
        <w:r w:rsidR="006D2F2E">
          <w:rPr>
            <w:rStyle w:val="Hyperlink"/>
            <w:sz w:val="26"/>
            <w:szCs w:val="26"/>
          </w:rPr>
          <w:t>_TAP</w:t>
        </w:r>
        <w:proofErr w:type="spellEnd"/>
      </w:hyperlink>
      <w:r>
        <w:rPr>
          <w:rStyle w:val="Hyperlink"/>
          <w:sz w:val="26"/>
          <w:szCs w:val="26"/>
        </w:rPr>
        <w:t xml:space="preserve"> </w:t>
      </w:r>
      <w:r w:rsidRPr="009B2F5F">
        <w:rPr>
          <w:rStyle w:val="Hyperlink"/>
          <w:color w:val="auto"/>
          <w:sz w:val="26"/>
          <w:szCs w:val="26"/>
          <w:u w:val="none"/>
        </w:rPr>
        <w:t>veröffentlicht</w:t>
      </w:r>
      <w:r>
        <w:rPr>
          <w:rStyle w:val="Hyperlink"/>
          <w:sz w:val="26"/>
          <w:szCs w:val="26"/>
          <w:u w:val="none"/>
        </w:rPr>
        <w:t>.</w:t>
      </w:r>
    </w:p>
    <w:sectPr w:rsidR="009B2F5F" w:rsidRPr="00AB5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ED"/>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1" w15:restartNumberingAfterBreak="0">
    <w:nsid w:val="12447DBB"/>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BF41131"/>
    <w:multiLevelType w:val="hybridMultilevel"/>
    <w:tmpl w:val="05F2524E"/>
    <w:lvl w:ilvl="0" w:tplc="A532DECE">
      <w:numFmt w:val="bullet"/>
      <w:lvlText w:val="-"/>
      <w:lvlJc w:val="left"/>
      <w:pPr>
        <w:ind w:left="1506" w:hanging="360"/>
      </w:pPr>
      <w:rPr>
        <w:rFonts w:ascii="ArialMT" w:eastAsiaTheme="minorHAnsi" w:hAnsi="ArialMT" w:cs="ArialMT" w:hint="default"/>
      </w:rPr>
    </w:lvl>
    <w:lvl w:ilvl="1" w:tplc="0C070003" w:tentative="1">
      <w:start w:val="1"/>
      <w:numFmt w:val="bullet"/>
      <w:lvlText w:val="o"/>
      <w:lvlJc w:val="left"/>
      <w:pPr>
        <w:ind w:left="2226" w:hanging="360"/>
      </w:pPr>
      <w:rPr>
        <w:rFonts w:ascii="Courier New" w:hAnsi="Courier New" w:cs="Courier New" w:hint="default"/>
      </w:rPr>
    </w:lvl>
    <w:lvl w:ilvl="2" w:tplc="0C070005" w:tentative="1">
      <w:start w:val="1"/>
      <w:numFmt w:val="bullet"/>
      <w:lvlText w:val=""/>
      <w:lvlJc w:val="left"/>
      <w:pPr>
        <w:ind w:left="2946" w:hanging="360"/>
      </w:pPr>
      <w:rPr>
        <w:rFonts w:ascii="Wingdings" w:hAnsi="Wingdings" w:hint="default"/>
      </w:rPr>
    </w:lvl>
    <w:lvl w:ilvl="3" w:tplc="0C070001" w:tentative="1">
      <w:start w:val="1"/>
      <w:numFmt w:val="bullet"/>
      <w:lvlText w:val=""/>
      <w:lvlJc w:val="left"/>
      <w:pPr>
        <w:ind w:left="3666" w:hanging="360"/>
      </w:pPr>
      <w:rPr>
        <w:rFonts w:ascii="Symbol" w:hAnsi="Symbol" w:hint="default"/>
      </w:rPr>
    </w:lvl>
    <w:lvl w:ilvl="4" w:tplc="0C070003" w:tentative="1">
      <w:start w:val="1"/>
      <w:numFmt w:val="bullet"/>
      <w:lvlText w:val="o"/>
      <w:lvlJc w:val="left"/>
      <w:pPr>
        <w:ind w:left="4386" w:hanging="360"/>
      </w:pPr>
      <w:rPr>
        <w:rFonts w:ascii="Courier New" w:hAnsi="Courier New" w:cs="Courier New" w:hint="default"/>
      </w:rPr>
    </w:lvl>
    <w:lvl w:ilvl="5" w:tplc="0C070005" w:tentative="1">
      <w:start w:val="1"/>
      <w:numFmt w:val="bullet"/>
      <w:lvlText w:val=""/>
      <w:lvlJc w:val="left"/>
      <w:pPr>
        <w:ind w:left="5106" w:hanging="360"/>
      </w:pPr>
      <w:rPr>
        <w:rFonts w:ascii="Wingdings" w:hAnsi="Wingdings" w:hint="default"/>
      </w:rPr>
    </w:lvl>
    <w:lvl w:ilvl="6" w:tplc="0C070001" w:tentative="1">
      <w:start w:val="1"/>
      <w:numFmt w:val="bullet"/>
      <w:lvlText w:val=""/>
      <w:lvlJc w:val="left"/>
      <w:pPr>
        <w:ind w:left="5826" w:hanging="360"/>
      </w:pPr>
      <w:rPr>
        <w:rFonts w:ascii="Symbol" w:hAnsi="Symbol" w:hint="default"/>
      </w:rPr>
    </w:lvl>
    <w:lvl w:ilvl="7" w:tplc="0C070003" w:tentative="1">
      <w:start w:val="1"/>
      <w:numFmt w:val="bullet"/>
      <w:lvlText w:val="o"/>
      <w:lvlJc w:val="left"/>
      <w:pPr>
        <w:ind w:left="6546" w:hanging="360"/>
      </w:pPr>
      <w:rPr>
        <w:rFonts w:ascii="Courier New" w:hAnsi="Courier New" w:cs="Courier New" w:hint="default"/>
      </w:rPr>
    </w:lvl>
    <w:lvl w:ilvl="8" w:tplc="0C070005" w:tentative="1">
      <w:start w:val="1"/>
      <w:numFmt w:val="bullet"/>
      <w:lvlText w:val=""/>
      <w:lvlJc w:val="left"/>
      <w:pPr>
        <w:ind w:left="7266" w:hanging="360"/>
      </w:pPr>
      <w:rPr>
        <w:rFonts w:ascii="Wingdings" w:hAnsi="Wingdings" w:hint="default"/>
      </w:rPr>
    </w:lvl>
  </w:abstractNum>
  <w:abstractNum w:abstractNumId="3" w15:restartNumberingAfterBreak="0">
    <w:nsid w:val="221B2A48"/>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4" w15:restartNumberingAfterBreak="0">
    <w:nsid w:val="28075B40"/>
    <w:multiLevelType w:val="hybridMultilevel"/>
    <w:tmpl w:val="C47C61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FF3A2E"/>
    <w:multiLevelType w:val="hybridMultilevel"/>
    <w:tmpl w:val="68248B3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7B69E7"/>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7" w15:restartNumberingAfterBreak="0">
    <w:nsid w:val="3386497D"/>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352B6903"/>
    <w:multiLevelType w:val="multilevel"/>
    <w:tmpl w:val="BE50A1FA"/>
    <w:lvl w:ilvl="0">
      <w:start w:val="1"/>
      <w:numFmt w:val="decimal"/>
      <w:lvlText w:val="(%1)"/>
      <w:lvlJc w:val="left"/>
      <w:pPr>
        <w:ind w:left="29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0064D2"/>
    <w:multiLevelType w:val="multilevel"/>
    <w:tmpl w:val="E56E72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B49272E"/>
    <w:multiLevelType w:val="multilevel"/>
    <w:tmpl w:val="6FEC3B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sz w:val="26"/>
        <w:szCs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1E63E7"/>
    <w:multiLevelType w:val="hybridMultilevel"/>
    <w:tmpl w:val="3522DAA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C3734F"/>
    <w:multiLevelType w:val="multilevel"/>
    <w:tmpl w:val="BE50A1FA"/>
    <w:lvl w:ilvl="0">
      <w:start w:val="1"/>
      <w:numFmt w:val="decimal"/>
      <w:lvlText w:val="(%1)"/>
      <w:lvlJc w:val="left"/>
      <w:pPr>
        <w:ind w:left="29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B419B3"/>
    <w:multiLevelType w:val="hybridMultilevel"/>
    <w:tmpl w:val="3522DAA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121EC2"/>
    <w:multiLevelType w:val="hybridMultilevel"/>
    <w:tmpl w:val="7A44F61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90F0AFA"/>
    <w:multiLevelType w:val="multilevel"/>
    <w:tmpl w:val="928A51EC"/>
    <w:lvl w:ilvl="0">
      <w:start w:val="1"/>
      <w:numFmt w:val="decimal"/>
      <w:lvlText w:val="(%1)"/>
      <w:lvlJc w:val="left"/>
      <w:pPr>
        <w:ind w:left="5214" w:hanging="360"/>
      </w:pPr>
      <w:rPr>
        <w:rFonts w:hint="default"/>
        <w:sz w:val="26"/>
        <w:szCs w:val="26"/>
      </w:rPr>
    </w:lvl>
    <w:lvl w:ilvl="1">
      <w:start w:val="1"/>
      <w:numFmt w:val="lowerLetter"/>
      <w:lvlText w:val="%2."/>
      <w:lvlJc w:val="left"/>
      <w:pPr>
        <w:ind w:left="5934" w:hanging="360"/>
      </w:pPr>
      <w:rPr>
        <w:rFonts w:hint="default"/>
      </w:rPr>
    </w:lvl>
    <w:lvl w:ilvl="2">
      <w:start w:val="1"/>
      <w:numFmt w:val="lowerRoman"/>
      <w:lvlText w:val="%3."/>
      <w:lvlJc w:val="right"/>
      <w:pPr>
        <w:ind w:left="6654" w:hanging="180"/>
      </w:pPr>
      <w:rPr>
        <w:rFonts w:hint="default"/>
      </w:rPr>
    </w:lvl>
    <w:lvl w:ilvl="3">
      <w:start w:val="1"/>
      <w:numFmt w:val="decimal"/>
      <w:lvlText w:val="%4."/>
      <w:lvlJc w:val="left"/>
      <w:pPr>
        <w:ind w:left="7374" w:hanging="360"/>
      </w:pPr>
      <w:rPr>
        <w:rFonts w:hint="default"/>
      </w:rPr>
    </w:lvl>
    <w:lvl w:ilvl="4">
      <w:start w:val="1"/>
      <w:numFmt w:val="lowerLetter"/>
      <w:lvlText w:val="%5."/>
      <w:lvlJc w:val="left"/>
      <w:pPr>
        <w:ind w:left="8094" w:hanging="360"/>
      </w:pPr>
      <w:rPr>
        <w:rFonts w:hint="default"/>
      </w:rPr>
    </w:lvl>
    <w:lvl w:ilvl="5">
      <w:start w:val="1"/>
      <w:numFmt w:val="lowerRoman"/>
      <w:lvlText w:val="%6."/>
      <w:lvlJc w:val="right"/>
      <w:pPr>
        <w:ind w:left="8814" w:hanging="180"/>
      </w:pPr>
      <w:rPr>
        <w:rFonts w:hint="default"/>
      </w:rPr>
    </w:lvl>
    <w:lvl w:ilvl="6">
      <w:start w:val="1"/>
      <w:numFmt w:val="decimal"/>
      <w:lvlText w:val="%7."/>
      <w:lvlJc w:val="left"/>
      <w:pPr>
        <w:ind w:left="9534" w:hanging="360"/>
      </w:pPr>
      <w:rPr>
        <w:rFonts w:hint="default"/>
      </w:rPr>
    </w:lvl>
    <w:lvl w:ilvl="7">
      <w:start w:val="1"/>
      <w:numFmt w:val="lowerLetter"/>
      <w:lvlText w:val="%8."/>
      <w:lvlJc w:val="left"/>
      <w:pPr>
        <w:ind w:left="10254" w:hanging="360"/>
      </w:pPr>
      <w:rPr>
        <w:rFonts w:hint="default"/>
      </w:rPr>
    </w:lvl>
    <w:lvl w:ilvl="8">
      <w:start w:val="1"/>
      <w:numFmt w:val="lowerRoman"/>
      <w:lvlText w:val="%9."/>
      <w:lvlJc w:val="right"/>
      <w:pPr>
        <w:ind w:left="10974" w:hanging="180"/>
      </w:pPr>
      <w:rPr>
        <w:rFonts w:hint="default"/>
      </w:rPr>
    </w:lvl>
  </w:abstractNum>
  <w:abstractNum w:abstractNumId="16" w15:restartNumberingAfterBreak="0">
    <w:nsid w:val="4C1F08F7"/>
    <w:multiLevelType w:val="hybridMultilevel"/>
    <w:tmpl w:val="7A44F61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F011898"/>
    <w:multiLevelType w:val="hybridMultilevel"/>
    <w:tmpl w:val="636EDA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F472BF9"/>
    <w:multiLevelType w:val="multilevel"/>
    <w:tmpl w:val="E56E72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DC416B"/>
    <w:multiLevelType w:val="hybridMultilevel"/>
    <w:tmpl w:val="C6CC104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CB961C6"/>
    <w:multiLevelType w:val="hybridMultilevel"/>
    <w:tmpl w:val="F2EE51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D45789A"/>
    <w:multiLevelType w:val="hybridMultilevel"/>
    <w:tmpl w:val="AA4EED1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2" w15:restartNumberingAfterBreak="0">
    <w:nsid w:val="5F5C19DE"/>
    <w:multiLevelType w:val="multilevel"/>
    <w:tmpl w:val="269EFA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4B6FF3"/>
    <w:multiLevelType w:val="hybridMultilevel"/>
    <w:tmpl w:val="72BAAD5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13"/>
  </w:num>
  <w:num w:numId="6">
    <w:abstractNumId w:val="20"/>
  </w:num>
  <w:num w:numId="7">
    <w:abstractNumId w:val="5"/>
  </w:num>
  <w:num w:numId="8">
    <w:abstractNumId w:val="18"/>
  </w:num>
  <w:num w:numId="9">
    <w:abstractNumId w:val="1"/>
  </w:num>
  <w:num w:numId="10">
    <w:abstractNumId w:val="7"/>
  </w:num>
  <w:num w:numId="11">
    <w:abstractNumId w:val="16"/>
  </w:num>
  <w:num w:numId="12">
    <w:abstractNumId w:val="14"/>
  </w:num>
  <w:num w:numId="13">
    <w:abstractNumId w:val="11"/>
  </w:num>
  <w:num w:numId="14">
    <w:abstractNumId w:val="3"/>
  </w:num>
  <w:num w:numId="15">
    <w:abstractNumId w:val="12"/>
  </w:num>
  <w:num w:numId="16">
    <w:abstractNumId w:val="0"/>
  </w:num>
  <w:num w:numId="17">
    <w:abstractNumId w:val="21"/>
  </w:num>
  <w:num w:numId="18">
    <w:abstractNumId w:val="6"/>
  </w:num>
  <w:num w:numId="19">
    <w:abstractNumId w:val="2"/>
  </w:num>
  <w:num w:numId="20">
    <w:abstractNumId w:val="10"/>
  </w:num>
  <w:num w:numId="21">
    <w:abstractNumId w:val="22"/>
  </w:num>
  <w:num w:numId="22">
    <w:abstractNumId w:val="9"/>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1B"/>
    <w:rsid w:val="0000078A"/>
    <w:rsid w:val="00030A2B"/>
    <w:rsid w:val="000544F0"/>
    <w:rsid w:val="00063A6B"/>
    <w:rsid w:val="0007220F"/>
    <w:rsid w:val="000B7FD0"/>
    <w:rsid w:val="000D09FB"/>
    <w:rsid w:val="000D1217"/>
    <w:rsid w:val="001168A9"/>
    <w:rsid w:val="00123AE3"/>
    <w:rsid w:val="00126709"/>
    <w:rsid w:val="001635A3"/>
    <w:rsid w:val="00175CD6"/>
    <w:rsid w:val="001773B5"/>
    <w:rsid w:val="00196F4B"/>
    <w:rsid w:val="001B13A6"/>
    <w:rsid w:val="001E00F6"/>
    <w:rsid w:val="00207FFC"/>
    <w:rsid w:val="00214B8A"/>
    <w:rsid w:val="002F415B"/>
    <w:rsid w:val="00321F5C"/>
    <w:rsid w:val="00370ED1"/>
    <w:rsid w:val="003845C6"/>
    <w:rsid w:val="00393ABF"/>
    <w:rsid w:val="0039749E"/>
    <w:rsid w:val="003A2A7A"/>
    <w:rsid w:val="003A7D1B"/>
    <w:rsid w:val="00451541"/>
    <w:rsid w:val="00457AF1"/>
    <w:rsid w:val="00484079"/>
    <w:rsid w:val="004B6EC9"/>
    <w:rsid w:val="005344BF"/>
    <w:rsid w:val="0057653A"/>
    <w:rsid w:val="005851CD"/>
    <w:rsid w:val="005870C2"/>
    <w:rsid w:val="005B28F6"/>
    <w:rsid w:val="005F71D3"/>
    <w:rsid w:val="00611FA4"/>
    <w:rsid w:val="00614E86"/>
    <w:rsid w:val="00634238"/>
    <w:rsid w:val="00640913"/>
    <w:rsid w:val="006A182C"/>
    <w:rsid w:val="006C1399"/>
    <w:rsid w:val="006C71A9"/>
    <w:rsid w:val="006D2F2E"/>
    <w:rsid w:val="006F0451"/>
    <w:rsid w:val="006F384E"/>
    <w:rsid w:val="006F779C"/>
    <w:rsid w:val="00702425"/>
    <w:rsid w:val="00723F20"/>
    <w:rsid w:val="007558BF"/>
    <w:rsid w:val="007565E8"/>
    <w:rsid w:val="007A1464"/>
    <w:rsid w:val="007B55C2"/>
    <w:rsid w:val="007F2BC2"/>
    <w:rsid w:val="00811081"/>
    <w:rsid w:val="008428D0"/>
    <w:rsid w:val="0084634D"/>
    <w:rsid w:val="00886C1F"/>
    <w:rsid w:val="008C35CB"/>
    <w:rsid w:val="008C62FA"/>
    <w:rsid w:val="008E5900"/>
    <w:rsid w:val="008F26B7"/>
    <w:rsid w:val="00900E81"/>
    <w:rsid w:val="00903D03"/>
    <w:rsid w:val="0091119C"/>
    <w:rsid w:val="00917BEE"/>
    <w:rsid w:val="009253B5"/>
    <w:rsid w:val="00943CB8"/>
    <w:rsid w:val="00963146"/>
    <w:rsid w:val="009B1BB8"/>
    <w:rsid w:val="009B2F5F"/>
    <w:rsid w:val="009D1C4A"/>
    <w:rsid w:val="00A41747"/>
    <w:rsid w:val="00A4702E"/>
    <w:rsid w:val="00AA1891"/>
    <w:rsid w:val="00AA2D2E"/>
    <w:rsid w:val="00AB5029"/>
    <w:rsid w:val="00AC4BF5"/>
    <w:rsid w:val="00B012D7"/>
    <w:rsid w:val="00B15389"/>
    <w:rsid w:val="00B22337"/>
    <w:rsid w:val="00B4217D"/>
    <w:rsid w:val="00B47CB8"/>
    <w:rsid w:val="00B51606"/>
    <w:rsid w:val="00B73C84"/>
    <w:rsid w:val="00B92AB9"/>
    <w:rsid w:val="00BA4A00"/>
    <w:rsid w:val="00BB037D"/>
    <w:rsid w:val="00C23111"/>
    <w:rsid w:val="00CE5DA6"/>
    <w:rsid w:val="00D02237"/>
    <w:rsid w:val="00D1707F"/>
    <w:rsid w:val="00D3165D"/>
    <w:rsid w:val="00D3420C"/>
    <w:rsid w:val="00D450F1"/>
    <w:rsid w:val="00D47C84"/>
    <w:rsid w:val="00D63159"/>
    <w:rsid w:val="00DB63E3"/>
    <w:rsid w:val="00DD2CFF"/>
    <w:rsid w:val="00DE4A04"/>
    <w:rsid w:val="00DE751E"/>
    <w:rsid w:val="00E40BCE"/>
    <w:rsid w:val="00E52AD3"/>
    <w:rsid w:val="00E6201A"/>
    <w:rsid w:val="00EE544E"/>
    <w:rsid w:val="00EF6828"/>
    <w:rsid w:val="00F234FC"/>
    <w:rsid w:val="00F64D0B"/>
    <w:rsid w:val="00F6584F"/>
    <w:rsid w:val="00F83C95"/>
    <w:rsid w:val="00F85677"/>
    <w:rsid w:val="00F93FF6"/>
    <w:rsid w:val="00FA6B06"/>
    <w:rsid w:val="00FB08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1460"/>
  <w15:chartTrackingRefBased/>
  <w15:docId w15:val="{63A2495B-5B0C-4AD3-A3B1-B5F912BF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Sprechblasentext">
    <w:name w:val="Balloon Text"/>
    <w:basedOn w:val="Standard"/>
    <w:link w:val="SprechblasentextZchn"/>
    <w:uiPriority w:val="99"/>
    <w:semiHidden/>
    <w:unhideWhenUsed/>
    <w:rsid w:val="003A7D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D1B"/>
    <w:rPr>
      <w:rFonts w:ascii="Segoe UI" w:hAnsi="Segoe UI" w:cs="Segoe UI"/>
      <w:sz w:val="18"/>
      <w:szCs w:val="18"/>
    </w:rPr>
  </w:style>
  <w:style w:type="paragraph" w:styleId="Listenabsatz">
    <w:name w:val="List Paragraph"/>
    <w:basedOn w:val="Standard"/>
    <w:uiPriority w:val="34"/>
    <w:qFormat/>
    <w:rsid w:val="00F83C95"/>
    <w:pPr>
      <w:ind w:left="720"/>
      <w:contextualSpacing/>
    </w:pPr>
  </w:style>
  <w:style w:type="character" w:styleId="Hyperlink">
    <w:name w:val="Hyperlink"/>
    <w:basedOn w:val="Absatz-Standardschriftart"/>
    <w:uiPriority w:val="99"/>
    <w:unhideWhenUsed/>
    <w:rsid w:val="00AA2D2E"/>
    <w:rPr>
      <w:color w:val="0563C1" w:themeColor="hyperlink"/>
      <w:u w:val="single"/>
    </w:rPr>
  </w:style>
  <w:style w:type="character" w:styleId="BesuchterLink">
    <w:name w:val="FollowedHyperlink"/>
    <w:basedOn w:val="Absatz-Standardschriftart"/>
    <w:uiPriority w:val="99"/>
    <w:semiHidden/>
    <w:unhideWhenUsed/>
    <w:rsid w:val="00F234FC"/>
    <w:rPr>
      <w:color w:val="954F72" w:themeColor="followedHyperlink"/>
      <w:u w:val="single"/>
    </w:rPr>
  </w:style>
  <w:style w:type="paragraph" w:styleId="Inhaltsverzeichnisberschrift">
    <w:name w:val="TOC Heading"/>
    <w:basedOn w:val="berschrift1"/>
    <w:next w:val="Standard"/>
    <w:uiPriority w:val="39"/>
    <w:unhideWhenUsed/>
    <w:qFormat/>
    <w:rsid w:val="009B1BB8"/>
    <w:pPr>
      <w:outlineLvl w:val="9"/>
    </w:pPr>
    <w:rPr>
      <w:rFonts w:asciiTheme="majorHAnsi" w:hAnsiTheme="majorHAnsi"/>
      <w:lang w:eastAsia="de-AT"/>
    </w:rPr>
  </w:style>
  <w:style w:type="paragraph" w:styleId="Verzeichnis1">
    <w:name w:val="toc 1"/>
    <w:basedOn w:val="Standard"/>
    <w:next w:val="Standard"/>
    <w:autoRedefine/>
    <w:uiPriority w:val="39"/>
    <w:unhideWhenUsed/>
    <w:rsid w:val="009B1BB8"/>
    <w:pPr>
      <w:spacing w:after="100"/>
    </w:pPr>
  </w:style>
  <w:style w:type="paragraph" w:styleId="Verzeichnis2">
    <w:name w:val="toc 2"/>
    <w:basedOn w:val="Standard"/>
    <w:next w:val="Standard"/>
    <w:autoRedefine/>
    <w:uiPriority w:val="39"/>
    <w:unhideWhenUsed/>
    <w:rsid w:val="009B1BB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4644">
      <w:bodyDiv w:val="1"/>
      <w:marLeft w:val="0"/>
      <w:marRight w:val="0"/>
      <w:marTop w:val="0"/>
      <w:marBottom w:val="0"/>
      <w:divBdr>
        <w:top w:val="none" w:sz="0" w:space="0" w:color="auto"/>
        <w:left w:val="none" w:sz="0" w:space="0" w:color="auto"/>
        <w:bottom w:val="none" w:sz="0" w:space="0" w:color="auto"/>
        <w:right w:val="none" w:sz="0" w:space="0" w:color="auto"/>
      </w:divBdr>
    </w:div>
    <w:div w:id="1558588748">
      <w:bodyDiv w:val="1"/>
      <w:marLeft w:val="0"/>
      <w:marRight w:val="0"/>
      <w:marTop w:val="0"/>
      <w:marBottom w:val="0"/>
      <w:divBdr>
        <w:top w:val="none" w:sz="0" w:space="0" w:color="auto"/>
        <w:left w:val="none" w:sz="0" w:space="0" w:color="auto"/>
        <w:bottom w:val="none" w:sz="0" w:space="0" w:color="auto"/>
        <w:right w:val="none" w:sz="0" w:space="0" w:color="auto"/>
      </w:divBdr>
    </w:div>
    <w:div w:id="1610428763">
      <w:bodyDiv w:val="1"/>
      <w:marLeft w:val="0"/>
      <w:marRight w:val="0"/>
      <w:marTop w:val="0"/>
      <w:marBottom w:val="0"/>
      <w:divBdr>
        <w:top w:val="none" w:sz="0" w:space="0" w:color="auto"/>
        <w:left w:val="none" w:sz="0" w:space="0" w:color="auto"/>
        <w:bottom w:val="none" w:sz="0" w:space="0" w:color="auto"/>
        <w:right w:val="none" w:sz="0" w:space="0" w:color="auto"/>
      </w:divBdr>
    </w:div>
    <w:div w:id="17896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irol.gv.at/fileadmin/themen/gesellschaft-soziales/kinder-und-jugendliche/kinder-und-jugendhilfe/formulare/Inklusion/Tiroler_Aktionsplan/Grundlagen/Richtlinie_TA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6A81-7597-4FE0-9D46-B8EA86ED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Tiroler Aktionsplan Richtlinie 2024</vt:lpstr>
    </vt:vector>
  </TitlesOfParts>
  <Company>Land Tirol</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Tiroler Aktionsplan Richtlinie 2024</dc:title>
  <dc:subject/>
  <dc:creator>GRUBER Oliver</dc:creator>
  <cp:keywords/>
  <dc:description/>
  <cp:lastModifiedBy>MAIERHOFER-ZANGERL Carmen</cp:lastModifiedBy>
  <cp:revision>2</cp:revision>
  <cp:lastPrinted>2023-07-04T10:03:00Z</cp:lastPrinted>
  <dcterms:created xsi:type="dcterms:W3CDTF">2024-04-03T07:03:00Z</dcterms:created>
  <dcterms:modified xsi:type="dcterms:W3CDTF">2024-04-03T07:03:00Z</dcterms:modified>
</cp:coreProperties>
</file>