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DAB2E" w14:textId="77777777" w:rsidR="00653CF1" w:rsidRPr="005335D0" w:rsidRDefault="00982455" w:rsidP="005335D0">
      <w:pPr>
        <w:pStyle w:val="berschrift1"/>
        <w:numPr>
          <w:ilvl w:val="0"/>
          <w:numId w:val="0"/>
        </w:numPr>
        <w:ind w:left="432" w:hanging="432"/>
        <w:jc w:val="center"/>
        <w:rPr>
          <w:sz w:val="28"/>
          <w:u w:val="single"/>
        </w:rPr>
      </w:pPr>
      <w:r w:rsidRPr="00982455">
        <w:rPr>
          <w:sz w:val="28"/>
          <w:u w:val="single"/>
        </w:rPr>
        <w:t>Vorlage für</w:t>
      </w:r>
      <w:r w:rsidR="00267B9F" w:rsidRPr="00267B9F">
        <w:rPr>
          <w:sz w:val="28"/>
          <w:u w:val="single"/>
        </w:rPr>
        <w:t xml:space="preserve"> Technische Beschreibung für Ammoniak-Wärmepumpen mit einer Füllmenge ≤ 50 kg</w:t>
      </w:r>
    </w:p>
    <w:tbl>
      <w:tblPr>
        <w:tblStyle w:val="Tabellenraster"/>
        <w:tblW w:w="0" w:type="auto"/>
        <w:tblBorders>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1123"/>
        <w:gridCol w:w="8157"/>
      </w:tblGrid>
      <w:tr w:rsidR="005034A4" w:rsidRPr="008922CF" w14:paraId="22596525" w14:textId="77777777" w:rsidTr="00346970">
        <w:tc>
          <w:tcPr>
            <w:tcW w:w="988" w:type="dxa"/>
            <w:shd w:val="clear" w:color="auto" w:fill="F2F2F2" w:themeFill="background1" w:themeFillShade="F2"/>
          </w:tcPr>
          <w:p w14:paraId="51CCE677" w14:textId="77777777" w:rsidR="005034A4" w:rsidRPr="008922CF" w:rsidRDefault="005335D0" w:rsidP="00B35E73">
            <w:pPr>
              <w:rPr>
                <w:rStyle w:val="IntensiveHervorhebung"/>
              </w:rPr>
            </w:pPr>
            <w:r w:rsidRPr="008922CF">
              <w:rPr>
                <w:rStyle w:val="IntensiveHervorhebung"/>
                <w:noProof/>
                <w:lang w:val="de-AT" w:eastAsia="de-AT"/>
              </w:rPr>
              <w:drawing>
                <wp:inline distT="0" distB="0" distL="0" distR="0" wp14:anchorId="13D9E64A" wp14:editId="29647309">
                  <wp:extent cx="576000" cy="576000"/>
                  <wp:effectExtent l="0" t="0" r="0" b="0"/>
                  <wp:docPr id="9" name="Grafik 9" descr="C:\Users\u0500011\AppData\Local\Microsoft\Windows\INetCache\Content.Word\Informa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500011\AppData\Local\Microsoft\Windows\INetCache\Content.Word\Informations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3CB24CA8" w14:textId="77777777" w:rsidR="005034A4" w:rsidRPr="008922CF" w:rsidRDefault="005034A4" w:rsidP="00B35E73">
            <w:pPr>
              <w:rPr>
                <w:rStyle w:val="IntensiveHervorhebung"/>
              </w:rPr>
            </w:pPr>
          </w:p>
          <w:p w14:paraId="1F339250" w14:textId="77777777" w:rsidR="005034A4" w:rsidRPr="008922CF" w:rsidRDefault="005034A4" w:rsidP="00B35E73">
            <w:pPr>
              <w:rPr>
                <w:rStyle w:val="IntensiveHervorhebung"/>
              </w:rPr>
            </w:pPr>
          </w:p>
        </w:tc>
        <w:tc>
          <w:tcPr>
            <w:tcW w:w="8157" w:type="dxa"/>
            <w:shd w:val="clear" w:color="auto" w:fill="F2F2F2" w:themeFill="background1" w:themeFillShade="F2"/>
          </w:tcPr>
          <w:p w14:paraId="1880D344" w14:textId="77777777" w:rsidR="005034A4" w:rsidRPr="009C4DEF" w:rsidRDefault="005034A4" w:rsidP="00B35E73">
            <w:pPr>
              <w:rPr>
                <w:rStyle w:val="IntensiveHervorhebung"/>
                <w:b/>
              </w:rPr>
            </w:pPr>
            <w:r w:rsidRPr="009C4DEF">
              <w:rPr>
                <w:rStyle w:val="IntensiveHervorhebung"/>
                <w:b/>
              </w:rPr>
              <w:t>Hinweis:</w:t>
            </w:r>
          </w:p>
          <w:p w14:paraId="2135A721" w14:textId="77777777" w:rsidR="005034A4" w:rsidRPr="008922CF" w:rsidRDefault="005034A4" w:rsidP="00B35E73">
            <w:pPr>
              <w:rPr>
                <w:rStyle w:val="IntensiveHervorhebung"/>
              </w:rPr>
            </w:pPr>
            <w:r w:rsidRPr="00F35590">
              <w:rPr>
                <w:rStyle w:val="IntensiveHervorhebung"/>
              </w:rPr>
              <w:t>Diese Mustervorlage beinhaltet die für die sicherheitstechnische und emissionstechnische Beurteilung durch einen Amtssachverständigen notwendigen Angaben. Die Beschreibung ist an die jeweilige Anlagenausführung anzupassen, dies gilt insbesondere für die grün markierten Texte.</w:t>
            </w:r>
          </w:p>
        </w:tc>
      </w:tr>
    </w:tbl>
    <w:p w14:paraId="5A8A1335" w14:textId="77777777" w:rsidR="005034A4" w:rsidRDefault="005034A4" w:rsidP="005034A4">
      <w:pPr>
        <w:rPr>
          <w:b/>
          <w:sz w:val="28"/>
          <w:u w:val="single"/>
        </w:rPr>
      </w:pPr>
    </w:p>
    <w:tbl>
      <w:tblPr>
        <w:tblStyle w:val="Tabellenraster"/>
        <w:tblW w:w="0" w:type="auto"/>
        <w:tblBorders>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1123"/>
        <w:gridCol w:w="8157"/>
      </w:tblGrid>
      <w:tr w:rsidR="005034A4" w:rsidRPr="008B7133" w14:paraId="3744F95A" w14:textId="77777777" w:rsidTr="00346970">
        <w:tc>
          <w:tcPr>
            <w:tcW w:w="988" w:type="dxa"/>
            <w:shd w:val="clear" w:color="auto" w:fill="F2F2F2" w:themeFill="background1" w:themeFillShade="F2"/>
          </w:tcPr>
          <w:p w14:paraId="7E0FBF21" w14:textId="77777777" w:rsidR="005034A4" w:rsidRPr="008B7133" w:rsidRDefault="005335D0" w:rsidP="00B35E73">
            <w:r>
              <w:rPr>
                <w:noProof/>
                <w:lang w:val="de-AT" w:eastAsia="de-AT"/>
              </w:rPr>
              <w:drawing>
                <wp:inline distT="0" distB="0" distL="0" distR="0" wp14:anchorId="0D9DE50F" wp14:editId="7D691A2E">
                  <wp:extent cx="576000" cy="504370"/>
                  <wp:effectExtent l="0" t="0" r="0" b="0"/>
                  <wp:docPr id="10" name="Grafik 10" descr="C:\Users\u0500011\AppData\Local\Microsoft\Windows\INetCache\Content.Word\ISO_7010_Warnzeichen_Allgemeines Warn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00011\AppData\Local\Microsoft\Windows\INetCache\Content.Word\ISO_7010_Warnzeichen_Allgemeines Warn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76000" cy="504370"/>
                          </a:xfrm>
                          <a:prstGeom prst="rect">
                            <a:avLst/>
                          </a:prstGeom>
                          <a:noFill/>
                          <a:ln>
                            <a:noFill/>
                          </a:ln>
                        </pic:spPr>
                      </pic:pic>
                    </a:graphicData>
                  </a:graphic>
                </wp:inline>
              </w:drawing>
            </w:r>
          </w:p>
        </w:tc>
        <w:tc>
          <w:tcPr>
            <w:tcW w:w="8157" w:type="dxa"/>
            <w:shd w:val="clear" w:color="auto" w:fill="F2F2F2" w:themeFill="background1" w:themeFillShade="F2"/>
          </w:tcPr>
          <w:p w14:paraId="3D243DE3" w14:textId="77777777" w:rsidR="005034A4" w:rsidRPr="005034A4" w:rsidRDefault="005034A4" w:rsidP="00B35E73">
            <w:pPr>
              <w:rPr>
                <w:rStyle w:val="IntensiveHervorhebung"/>
                <w:b/>
                <w:color w:val="auto"/>
              </w:rPr>
            </w:pPr>
            <w:r w:rsidRPr="005034A4">
              <w:rPr>
                <w:rStyle w:val="IntensiveHervorhebung"/>
                <w:b/>
                <w:color w:val="auto"/>
              </w:rPr>
              <w:t>Achtung:</w:t>
            </w:r>
          </w:p>
          <w:p w14:paraId="326712B2" w14:textId="77777777" w:rsidR="005034A4" w:rsidRPr="00A57E64" w:rsidRDefault="005034A4" w:rsidP="00B35E73">
            <w:pPr>
              <w:rPr>
                <w:rStyle w:val="IntensiveHervorhebung"/>
                <w:b/>
              </w:rPr>
            </w:pPr>
            <w:r w:rsidRPr="005034A4">
              <w:rPr>
                <w:rStyle w:val="IntensiveHervorhebung"/>
                <w:color w:val="auto"/>
              </w:rPr>
              <w:t>Bei Anwendung dieser Vorlage sind das Landeslogo, Kopf- und Fußzeile, sämtliche Hinweise und nicht zutreffende Beschreibungspunkte zu entfernen!</w:t>
            </w:r>
          </w:p>
        </w:tc>
      </w:tr>
    </w:tbl>
    <w:p w14:paraId="6C1EBE7F" w14:textId="77777777" w:rsidR="00267B9F" w:rsidRPr="00DA0FF2" w:rsidRDefault="00267B9F" w:rsidP="00267B9F"/>
    <w:p w14:paraId="727EEEF1" w14:textId="77777777" w:rsidR="00982455" w:rsidRDefault="00267B9F" w:rsidP="00267B9F">
      <w:pPr>
        <w:pStyle w:val="berschrift1"/>
      </w:pPr>
      <w:r w:rsidRPr="00DA0FF2">
        <w:t>Ammoniak-Wärmepumpe</w:t>
      </w:r>
      <w:r w:rsidR="005335D0">
        <w:t xml:space="preserve"> mit einer Füllmenge </w:t>
      </w:r>
      <w:r w:rsidR="005335D0" w:rsidRPr="005335D0">
        <w:t>≤</w:t>
      </w:r>
      <w:r w:rsidR="005335D0">
        <w:t xml:space="preserve"> 50 kg</w:t>
      </w:r>
    </w:p>
    <w:p w14:paraId="0AA18778" w14:textId="77777777" w:rsidR="00982455" w:rsidRDefault="00267B9F" w:rsidP="00982455">
      <w:pPr>
        <w:pStyle w:val="berschrift2"/>
      </w:pPr>
      <w:r>
        <w:t>Vorhaben</w:t>
      </w:r>
    </w:p>
    <w:p w14:paraId="71D6BA11" w14:textId="77777777" w:rsidR="00267B9F" w:rsidRPr="00C77031" w:rsidRDefault="00267B9F" w:rsidP="00267B9F">
      <w:pPr>
        <w:suppressAutoHyphens/>
        <w:rPr>
          <w:rFonts w:cs="Arial"/>
          <w:szCs w:val="20"/>
        </w:rPr>
      </w:pPr>
      <w:r w:rsidRPr="00C77031">
        <w:rPr>
          <w:rFonts w:cs="Arial"/>
          <w:szCs w:val="20"/>
        </w:rPr>
        <w:t xml:space="preserve">In der Betriebsanlage soll eine </w:t>
      </w:r>
      <w:r>
        <w:rPr>
          <w:rFonts w:cs="Arial"/>
          <w:szCs w:val="20"/>
        </w:rPr>
        <w:t>Wärmepumpe</w:t>
      </w:r>
      <w:r w:rsidRPr="00C77031">
        <w:rPr>
          <w:rFonts w:cs="Arial"/>
          <w:szCs w:val="20"/>
        </w:rPr>
        <w:t xml:space="preserve"> mit folgenden technischen Daten errichtet und betrieben werden: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204"/>
        <w:gridCol w:w="2976"/>
      </w:tblGrid>
      <w:tr w:rsidR="00267B9F" w:rsidRPr="00A92A17" w14:paraId="0598ADB2" w14:textId="77777777" w:rsidTr="0086562F">
        <w:trPr>
          <w:trHeight w:val="18"/>
        </w:trPr>
        <w:tc>
          <w:tcPr>
            <w:tcW w:w="6204" w:type="dxa"/>
            <w:shd w:val="clear" w:color="auto" w:fill="BFBFBF" w:themeFill="background1" w:themeFillShade="BF"/>
            <w:vAlign w:val="center"/>
            <w:hideMark/>
          </w:tcPr>
          <w:p w14:paraId="55AD1636" w14:textId="77777777" w:rsidR="00267B9F" w:rsidRPr="005335D0" w:rsidRDefault="00267B9F" w:rsidP="005335D0">
            <w:pPr>
              <w:pStyle w:val="Tabelleninhalt"/>
              <w:rPr>
                <w:b/>
              </w:rPr>
            </w:pPr>
            <w:r w:rsidRPr="005335D0">
              <w:rPr>
                <w:b/>
              </w:rPr>
              <w:t>Bezeichnung</w:t>
            </w:r>
          </w:p>
        </w:tc>
        <w:tc>
          <w:tcPr>
            <w:tcW w:w="2976" w:type="dxa"/>
            <w:shd w:val="clear" w:color="auto" w:fill="BFBFBF" w:themeFill="background1" w:themeFillShade="BF"/>
            <w:vAlign w:val="center"/>
          </w:tcPr>
          <w:p w14:paraId="6C39EF27" w14:textId="77777777" w:rsidR="00267B9F" w:rsidRPr="005335D0" w:rsidRDefault="00267B9F" w:rsidP="005335D0">
            <w:pPr>
              <w:pStyle w:val="Tabelleninhalt"/>
              <w:rPr>
                <w:b/>
              </w:rPr>
            </w:pPr>
            <w:r w:rsidRPr="005335D0">
              <w:rPr>
                <w:b/>
              </w:rPr>
              <w:t>Wert / Eigenschaft</w:t>
            </w:r>
          </w:p>
        </w:tc>
      </w:tr>
      <w:tr w:rsidR="00267B9F" w:rsidRPr="00A92A17" w14:paraId="2E225686" w14:textId="77777777" w:rsidTr="005335D0">
        <w:trPr>
          <w:trHeight w:val="18"/>
        </w:trPr>
        <w:tc>
          <w:tcPr>
            <w:tcW w:w="6204" w:type="dxa"/>
            <w:shd w:val="clear" w:color="auto" w:fill="auto"/>
            <w:vAlign w:val="center"/>
          </w:tcPr>
          <w:p w14:paraId="4D4C4953" w14:textId="77777777" w:rsidR="00267B9F" w:rsidRPr="00DA0FF2" w:rsidRDefault="00267B9F" w:rsidP="005335D0">
            <w:pPr>
              <w:pStyle w:val="Tabelleninhalt"/>
              <w:rPr>
                <w:bCs/>
              </w:rPr>
            </w:pPr>
            <w:r w:rsidRPr="00DA0FF2">
              <w:rPr>
                <w:bCs/>
              </w:rPr>
              <w:t>Fabrikat</w:t>
            </w:r>
          </w:p>
        </w:tc>
        <w:tc>
          <w:tcPr>
            <w:tcW w:w="2976" w:type="dxa"/>
            <w:shd w:val="clear" w:color="auto" w:fill="auto"/>
            <w:vAlign w:val="center"/>
          </w:tcPr>
          <w:p w14:paraId="02A5CFD2" w14:textId="77777777" w:rsidR="00267B9F" w:rsidRPr="00DA0FF2" w:rsidRDefault="00267B9F" w:rsidP="005335D0">
            <w:pPr>
              <w:pStyle w:val="Tabelleninhalt"/>
            </w:pPr>
          </w:p>
        </w:tc>
      </w:tr>
      <w:tr w:rsidR="00267B9F" w:rsidRPr="00A92A17" w14:paraId="7B163791" w14:textId="77777777" w:rsidTr="005335D0">
        <w:trPr>
          <w:trHeight w:val="18"/>
        </w:trPr>
        <w:tc>
          <w:tcPr>
            <w:tcW w:w="6204" w:type="dxa"/>
            <w:shd w:val="clear" w:color="auto" w:fill="auto"/>
            <w:vAlign w:val="center"/>
          </w:tcPr>
          <w:p w14:paraId="765E251A" w14:textId="77777777" w:rsidR="00267B9F" w:rsidRPr="00DA0FF2" w:rsidRDefault="00267B9F" w:rsidP="005335D0">
            <w:pPr>
              <w:pStyle w:val="Tabelleninhalt"/>
              <w:rPr>
                <w:bCs/>
              </w:rPr>
            </w:pPr>
            <w:r w:rsidRPr="00DA0FF2">
              <w:rPr>
                <w:bCs/>
              </w:rPr>
              <w:t>Type</w:t>
            </w:r>
          </w:p>
        </w:tc>
        <w:tc>
          <w:tcPr>
            <w:tcW w:w="2976" w:type="dxa"/>
            <w:shd w:val="clear" w:color="auto" w:fill="auto"/>
            <w:vAlign w:val="center"/>
          </w:tcPr>
          <w:p w14:paraId="14C23FCC" w14:textId="77777777" w:rsidR="00267B9F" w:rsidRPr="00DA0FF2" w:rsidRDefault="00267B9F" w:rsidP="005335D0">
            <w:pPr>
              <w:pStyle w:val="Tabelleninhalt"/>
            </w:pPr>
          </w:p>
        </w:tc>
      </w:tr>
      <w:tr w:rsidR="00267B9F" w:rsidRPr="00C77031" w14:paraId="1C979ED4" w14:textId="77777777" w:rsidTr="005335D0">
        <w:trPr>
          <w:trHeight w:val="18"/>
        </w:trPr>
        <w:tc>
          <w:tcPr>
            <w:tcW w:w="6204" w:type="dxa"/>
            <w:shd w:val="clear" w:color="auto" w:fill="FFFFFF" w:themeFill="background1"/>
            <w:vAlign w:val="center"/>
          </w:tcPr>
          <w:p w14:paraId="1E5EBA4D" w14:textId="77777777" w:rsidR="00267B9F" w:rsidRPr="00DA0FF2" w:rsidRDefault="00267B9F" w:rsidP="005335D0">
            <w:pPr>
              <w:pStyle w:val="Tabelleninhalt"/>
            </w:pPr>
            <w:r w:rsidRPr="00DA0FF2">
              <w:t>Kältemittel</w:t>
            </w:r>
          </w:p>
        </w:tc>
        <w:tc>
          <w:tcPr>
            <w:tcW w:w="2976" w:type="dxa"/>
            <w:shd w:val="clear" w:color="auto" w:fill="FFFFFF" w:themeFill="background1"/>
            <w:vAlign w:val="center"/>
          </w:tcPr>
          <w:p w14:paraId="331DE2EE" w14:textId="77777777" w:rsidR="00267B9F" w:rsidRPr="00DA0FF2" w:rsidRDefault="00267B9F" w:rsidP="005335D0">
            <w:pPr>
              <w:pStyle w:val="Tabelleninhalt"/>
            </w:pPr>
            <w:r w:rsidRPr="00DA0FF2">
              <w:t>R-717</w:t>
            </w:r>
          </w:p>
        </w:tc>
      </w:tr>
      <w:tr w:rsidR="00267B9F" w:rsidRPr="00C77031" w14:paraId="055CAC87" w14:textId="77777777" w:rsidTr="005335D0">
        <w:trPr>
          <w:trHeight w:val="18"/>
        </w:trPr>
        <w:tc>
          <w:tcPr>
            <w:tcW w:w="6204" w:type="dxa"/>
            <w:shd w:val="clear" w:color="auto" w:fill="FFFFFF" w:themeFill="background1"/>
            <w:vAlign w:val="center"/>
          </w:tcPr>
          <w:p w14:paraId="7FB4E0BC" w14:textId="77777777" w:rsidR="00267B9F" w:rsidRPr="00DA0FF2" w:rsidRDefault="00267B9F" w:rsidP="005335D0">
            <w:pPr>
              <w:pStyle w:val="Tabelleninhalt"/>
            </w:pPr>
            <w:r w:rsidRPr="00DA0FF2">
              <w:t>Kältemittelgruppe nach KAV</w:t>
            </w:r>
          </w:p>
        </w:tc>
        <w:tc>
          <w:tcPr>
            <w:tcW w:w="2976" w:type="dxa"/>
            <w:shd w:val="clear" w:color="auto" w:fill="FFFFFF" w:themeFill="background1"/>
            <w:vAlign w:val="center"/>
          </w:tcPr>
          <w:p w14:paraId="591E9590" w14:textId="77777777" w:rsidR="00267B9F" w:rsidRPr="00DA0FF2" w:rsidRDefault="00267B9F" w:rsidP="005335D0">
            <w:pPr>
              <w:pStyle w:val="Tabelleninhalt"/>
            </w:pPr>
            <w:r w:rsidRPr="00DA0FF2">
              <w:t>Gruppe 2</w:t>
            </w:r>
          </w:p>
        </w:tc>
      </w:tr>
      <w:tr w:rsidR="00267B9F" w:rsidRPr="00C77031" w14:paraId="1ED24ED9" w14:textId="77777777" w:rsidTr="005335D0">
        <w:trPr>
          <w:trHeight w:val="18"/>
        </w:trPr>
        <w:tc>
          <w:tcPr>
            <w:tcW w:w="6204" w:type="dxa"/>
            <w:shd w:val="clear" w:color="auto" w:fill="FFFFFF" w:themeFill="background1"/>
            <w:vAlign w:val="center"/>
          </w:tcPr>
          <w:p w14:paraId="4F536A25" w14:textId="77777777" w:rsidR="00267B9F" w:rsidRPr="00DA0FF2" w:rsidRDefault="00267B9F" w:rsidP="005335D0">
            <w:pPr>
              <w:pStyle w:val="Tabelleninhalt"/>
            </w:pPr>
            <w:r w:rsidRPr="00DA0FF2">
              <w:t>Kältemittel-Sicherheitsklasse gemäß ÖNORM EN 378</w:t>
            </w:r>
          </w:p>
        </w:tc>
        <w:tc>
          <w:tcPr>
            <w:tcW w:w="2976" w:type="dxa"/>
            <w:shd w:val="clear" w:color="auto" w:fill="FFFFFF" w:themeFill="background1"/>
            <w:vAlign w:val="center"/>
          </w:tcPr>
          <w:p w14:paraId="4E1BE2A2" w14:textId="77777777" w:rsidR="00267B9F" w:rsidRPr="00DA0FF2" w:rsidRDefault="00267B9F" w:rsidP="005335D0">
            <w:pPr>
              <w:pStyle w:val="Tabelleninhalt"/>
            </w:pPr>
            <w:r w:rsidRPr="00DA0FF2">
              <w:t>B2L</w:t>
            </w:r>
          </w:p>
        </w:tc>
      </w:tr>
      <w:tr w:rsidR="00267B9F" w:rsidRPr="00C77031" w14:paraId="5135EF9A" w14:textId="77777777" w:rsidTr="005335D0">
        <w:trPr>
          <w:trHeight w:val="23"/>
        </w:trPr>
        <w:tc>
          <w:tcPr>
            <w:tcW w:w="6204" w:type="dxa"/>
            <w:shd w:val="clear" w:color="auto" w:fill="FFFFFF" w:themeFill="background1"/>
            <w:vAlign w:val="center"/>
            <w:hideMark/>
          </w:tcPr>
          <w:p w14:paraId="0527A730" w14:textId="77777777" w:rsidR="00267B9F" w:rsidRPr="00DA0FF2" w:rsidRDefault="00267B9F" w:rsidP="005335D0">
            <w:pPr>
              <w:pStyle w:val="Tabelleninhalt"/>
            </w:pPr>
            <w:r w:rsidRPr="00DA0FF2">
              <w:t>Kältemittelfüllmenge [kg]</w:t>
            </w:r>
          </w:p>
        </w:tc>
        <w:tc>
          <w:tcPr>
            <w:tcW w:w="2976" w:type="dxa"/>
            <w:shd w:val="clear" w:color="auto" w:fill="FFFFFF" w:themeFill="background1"/>
            <w:vAlign w:val="center"/>
          </w:tcPr>
          <w:p w14:paraId="5D45936F" w14:textId="77777777" w:rsidR="00267B9F" w:rsidRPr="00DA0FF2" w:rsidRDefault="00267B9F" w:rsidP="005335D0">
            <w:pPr>
              <w:pStyle w:val="Tabelleninhalt"/>
            </w:pPr>
          </w:p>
        </w:tc>
      </w:tr>
      <w:tr w:rsidR="00267B9F" w:rsidRPr="00C77031" w14:paraId="5CCD7D14" w14:textId="77777777" w:rsidTr="005335D0">
        <w:trPr>
          <w:trHeight w:val="23"/>
        </w:trPr>
        <w:tc>
          <w:tcPr>
            <w:tcW w:w="6204" w:type="dxa"/>
            <w:shd w:val="clear" w:color="auto" w:fill="FFFFFF" w:themeFill="background1"/>
            <w:vAlign w:val="center"/>
          </w:tcPr>
          <w:p w14:paraId="1D35BE77" w14:textId="77777777" w:rsidR="00267B9F" w:rsidRPr="00DA0FF2" w:rsidRDefault="00267B9F" w:rsidP="005335D0">
            <w:pPr>
              <w:pStyle w:val="Tabelleninhalt"/>
            </w:pPr>
            <w:r w:rsidRPr="00DA0FF2">
              <w:t>Anzahl der Kältemittelkreise</w:t>
            </w:r>
          </w:p>
        </w:tc>
        <w:tc>
          <w:tcPr>
            <w:tcW w:w="2976" w:type="dxa"/>
            <w:shd w:val="clear" w:color="auto" w:fill="FFFFFF" w:themeFill="background1"/>
            <w:vAlign w:val="center"/>
          </w:tcPr>
          <w:p w14:paraId="31D894B4" w14:textId="77777777" w:rsidR="00267B9F" w:rsidRPr="00DA0FF2" w:rsidRDefault="00267B9F" w:rsidP="005335D0">
            <w:pPr>
              <w:pStyle w:val="Tabelleninhalt"/>
            </w:pPr>
          </w:p>
        </w:tc>
      </w:tr>
      <w:tr w:rsidR="00267B9F" w:rsidRPr="00C77031" w14:paraId="2EEEF0FD" w14:textId="77777777" w:rsidTr="005335D0">
        <w:trPr>
          <w:trHeight w:val="23"/>
        </w:trPr>
        <w:tc>
          <w:tcPr>
            <w:tcW w:w="6204" w:type="dxa"/>
            <w:shd w:val="clear" w:color="auto" w:fill="FFFFFF" w:themeFill="background1"/>
            <w:vAlign w:val="center"/>
          </w:tcPr>
          <w:p w14:paraId="5244513D" w14:textId="77777777" w:rsidR="00267B9F" w:rsidRPr="00DA0FF2" w:rsidRDefault="00267B9F" w:rsidP="005335D0">
            <w:pPr>
              <w:pStyle w:val="Tabelleninhalt"/>
            </w:pPr>
            <w:r w:rsidRPr="00DA0FF2">
              <w:t>Kältemittelfüllmenge des größten Kältemittelkreises [kg]</w:t>
            </w:r>
          </w:p>
        </w:tc>
        <w:tc>
          <w:tcPr>
            <w:tcW w:w="2976" w:type="dxa"/>
            <w:shd w:val="clear" w:color="auto" w:fill="FFFFFF" w:themeFill="background1"/>
            <w:vAlign w:val="center"/>
          </w:tcPr>
          <w:p w14:paraId="21ED7D5C" w14:textId="77777777" w:rsidR="00267B9F" w:rsidRPr="00DA0FF2" w:rsidRDefault="00267B9F" w:rsidP="005335D0">
            <w:pPr>
              <w:pStyle w:val="Tabelleninhalt"/>
            </w:pPr>
          </w:p>
        </w:tc>
      </w:tr>
      <w:tr w:rsidR="00267B9F" w:rsidRPr="00C77031" w14:paraId="1123C71B" w14:textId="77777777" w:rsidTr="005335D0">
        <w:trPr>
          <w:trHeight w:val="23"/>
        </w:trPr>
        <w:tc>
          <w:tcPr>
            <w:tcW w:w="6204" w:type="dxa"/>
            <w:shd w:val="clear" w:color="auto" w:fill="FFFFFF" w:themeFill="background1"/>
            <w:vAlign w:val="center"/>
          </w:tcPr>
          <w:p w14:paraId="1F9FE717" w14:textId="77777777" w:rsidR="00267B9F" w:rsidRPr="00DA0FF2" w:rsidRDefault="00267B9F" w:rsidP="005335D0">
            <w:pPr>
              <w:pStyle w:val="Tabelleninhalt"/>
            </w:pPr>
            <w:r w:rsidRPr="00DA0FF2">
              <w:t>Art der Kühlung (direkt oder indirekt)</w:t>
            </w:r>
          </w:p>
        </w:tc>
        <w:tc>
          <w:tcPr>
            <w:tcW w:w="2976" w:type="dxa"/>
            <w:shd w:val="clear" w:color="auto" w:fill="FFFFFF" w:themeFill="background1"/>
            <w:vAlign w:val="center"/>
          </w:tcPr>
          <w:p w14:paraId="54711447" w14:textId="77777777" w:rsidR="00267B9F" w:rsidRPr="00DA0FF2" w:rsidRDefault="00267B9F" w:rsidP="005335D0">
            <w:pPr>
              <w:pStyle w:val="Tabelleninhalt"/>
            </w:pPr>
          </w:p>
        </w:tc>
      </w:tr>
      <w:tr w:rsidR="00267B9F" w:rsidRPr="00C77031" w14:paraId="3C6F7291" w14:textId="77777777" w:rsidTr="005335D0">
        <w:trPr>
          <w:trHeight w:val="23"/>
        </w:trPr>
        <w:tc>
          <w:tcPr>
            <w:tcW w:w="6204" w:type="dxa"/>
            <w:shd w:val="clear" w:color="auto" w:fill="FFFFFF" w:themeFill="background1"/>
            <w:vAlign w:val="center"/>
          </w:tcPr>
          <w:p w14:paraId="249A0C16" w14:textId="77777777" w:rsidR="00267B9F" w:rsidRPr="00DA0FF2" w:rsidRDefault="00267B9F" w:rsidP="005335D0">
            <w:pPr>
              <w:pStyle w:val="Tabelleninhalt"/>
            </w:pPr>
            <w:r w:rsidRPr="00DA0FF2">
              <w:t>Kühlleistung [kW]</w:t>
            </w:r>
          </w:p>
        </w:tc>
        <w:tc>
          <w:tcPr>
            <w:tcW w:w="2976" w:type="dxa"/>
            <w:shd w:val="clear" w:color="auto" w:fill="FFFFFF" w:themeFill="background1"/>
            <w:vAlign w:val="center"/>
          </w:tcPr>
          <w:p w14:paraId="44CE6116" w14:textId="77777777" w:rsidR="00267B9F" w:rsidRPr="00DA0FF2" w:rsidRDefault="00267B9F" w:rsidP="005335D0">
            <w:pPr>
              <w:pStyle w:val="Tabelleninhalt"/>
            </w:pPr>
          </w:p>
        </w:tc>
      </w:tr>
      <w:tr w:rsidR="00267B9F" w:rsidRPr="00C77031" w14:paraId="2FB95C58" w14:textId="77777777" w:rsidTr="005335D0">
        <w:trPr>
          <w:trHeight w:val="23"/>
        </w:trPr>
        <w:tc>
          <w:tcPr>
            <w:tcW w:w="6204" w:type="dxa"/>
            <w:shd w:val="clear" w:color="auto" w:fill="FFFFFF" w:themeFill="background1"/>
            <w:vAlign w:val="center"/>
          </w:tcPr>
          <w:p w14:paraId="1A8AFBE5" w14:textId="77777777" w:rsidR="00267B9F" w:rsidRPr="00DA0FF2" w:rsidRDefault="00267B9F" w:rsidP="005335D0">
            <w:pPr>
              <w:pStyle w:val="Tabelleninhalt"/>
            </w:pPr>
            <w:r w:rsidRPr="00DA0FF2">
              <w:t>ODL [kg/m³]</w:t>
            </w:r>
          </w:p>
        </w:tc>
        <w:tc>
          <w:tcPr>
            <w:tcW w:w="2976" w:type="dxa"/>
            <w:shd w:val="clear" w:color="auto" w:fill="FFFFFF" w:themeFill="background1"/>
            <w:vAlign w:val="center"/>
          </w:tcPr>
          <w:p w14:paraId="60EE4426" w14:textId="77777777" w:rsidR="00267B9F" w:rsidRPr="00DA0FF2" w:rsidRDefault="00267B9F" w:rsidP="005335D0">
            <w:pPr>
              <w:pStyle w:val="Tabelleninhalt"/>
            </w:pPr>
            <w:r w:rsidRPr="00DA0FF2">
              <w:t>0,105 (150.000 ppm)</w:t>
            </w:r>
          </w:p>
        </w:tc>
      </w:tr>
      <w:tr w:rsidR="00267B9F" w:rsidRPr="00C77031" w14:paraId="1EAF5F7C" w14:textId="77777777" w:rsidTr="005335D0">
        <w:trPr>
          <w:trHeight w:val="23"/>
        </w:trPr>
        <w:tc>
          <w:tcPr>
            <w:tcW w:w="6204" w:type="dxa"/>
            <w:shd w:val="clear" w:color="auto" w:fill="FFFFFF" w:themeFill="background1"/>
            <w:vAlign w:val="center"/>
          </w:tcPr>
          <w:p w14:paraId="75185D14" w14:textId="77777777" w:rsidR="00267B9F" w:rsidRPr="00DA0FF2" w:rsidRDefault="00267B9F" w:rsidP="005335D0">
            <w:pPr>
              <w:pStyle w:val="Tabelleninhalt"/>
            </w:pPr>
            <w:r w:rsidRPr="00DA0FF2">
              <w:t>ATEL [kg/m³]</w:t>
            </w:r>
          </w:p>
        </w:tc>
        <w:tc>
          <w:tcPr>
            <w:tcW w:w="2976" w:type="dxa"/>
            <w:shd w:val="clear" w:color="auto" w:fill="FFFFFF" w:themeFill="background1"/>
            <w:vAlign w:val="center"/>
          </w:tcPr>
          <w:p w14:paraId="42B7C28C" w14:textId="77777777" w:rsidR="00267B9F" w:rsidRPr="00DA0FF2" w:rsidRDefault="00267B9F" w:rsidP="005335D0">
            <w:pPr>
              <w:pStyle w:val="Tabelleninhalt"/>
            </w:pPr>
            <w:r w:rsidRPr="00DA0FF2">
              <w:t>0,00022 (320 ppm)</w:t>
            </w:r>
          </w:p>
        </w:tc>
      </w:tr>
      <w:tr w:rsidR="00267B9F" w:rsidRPr="00C77031" w14:paraId="0964CA85" w14:textId="77777777" w:rsidTr="005335D0">
        <w:trPr>
          <w:trHeight w:val="23"/>
        </w:trPr>
        <w:tc>
          <w:tcPr>
            <w:tcW w:w="6204" w:type="dxa"/>
            <w:shd w:val="clear" w:color="auto" w:fill="FFFFFF" w:themeFill="background1"/>
            <w:vAlign w:val="center"/>
          </w:tcPr>
          <w:p w14:paraId="48EEDDBB" w14:textId="77777777" w:rsidR="00267B9F" w:rsidRPr="00DA0FF2" w:rsidRDefault="00267B9F" w:rsidP="005335D0">
            <w:pPr>
              <w:pStyle w:val="Tabelleninhalt"/>
            </w:pPr>
            <w:r w:rsidRPr="00DA0FF2">
              <w:t>UEG [kg/m³]</w:t>
            </w:r>
          </w:p>
        </w:tc>
        <w:tc>
          <w:tcPr>
            <w:tcW w:w="2976" w:type="dxa"/>
            <w:shd w:val="clear" w:color="auto" w:fill="FFFFFF" w:themeFill="background1"/>
            <w:vAlign w:val="center"/>
          </w:tcPr>
          <w:p w14:paraId="0EBD25EE" w14:textId="77777777" w:rsidR="00267B9F" w:rsidRPr="00DA0FF2" w:rsidRDefault="00267B9F" w:rsidP="005335D0">
            <w:pPr>
              <w:pStyle w:val="Tabelleninhalt"/>
            </w:pPr>
            <w:r w:rsidRPr="00DA0FF2">
              <w:t>0,116 (167.000 ppm)</w:t>
            </w:r>
          </w:p>
        </w:tc>
      </w:tr>
      <w:tr w:rsidR="00267B9F" w:rsidRPr="00C77031" w14:paraId="540A4A79" w14:textId="77777777" w:rsidTr="005335D0">
        <w:trPr>
          <w:trHeight w:val="23"/>
        </w:trPr>
        <w:tc>
          <w:tcPr>
            <w:tcW w:w="6204" w:type="dxa"/>
            <w:shd w:val="clear" w:color="auto" w:fill="FFFFFF" w:themeFill="background1"/>
            <w:vAlign w:val="center"/>
          </w:tcPr>
          <w:p w14:paraId="7ABA067C" w14:textId="77777777" w:rsidR="00267B9F" w:rsidRPr="00DA0FF2" w:rsidRDefault="00267B9F" w:rsidP="005335D0">
            <w:pPr>
              <w:pStyle w:val="Tabelleninhalt"/>
            </w:pPr>
            <w:r w:rsidRPr="00DA0FF2">
              <w:t xml:space="preserve">Kritischer Grenzwert </w:t>
            </w:r>
            <w:proofErr w:type="spellStart"/>
            <w:r w:rsidRPr="00DA0FF2">
              <w:t>X</w:t>
            </w:r>
            <w:r w:rsidRPr="00DA0FF2">
              <w:rPr>
                <w:vertAlign w:val="subscript"/>
              </w:rPr>
              <w:t>min</w:t>
            </w:r>
            <w:proofErr w:type="spellEnd"/>
            <w:r w:rsidRPr="00DA0FF2">
              <w:t xml:space="preserve"> [kg/m³] (Minimum aus ODL-, ATEL-Wert und UEG)</w:t>
            </w:r>
          </w:p>
        </w:tc>
        <w:tc>
          <w:tcPr>
            <w:tcW w:w="2976" w:type="dxa"/>
            <w:shd w:val="clear" w:color="auto" w:fill="FFFFFF" w:themeFill="background1"/>
            <w:vAlign w:val="center"/>
          </w:tcPr>
          <w:p w14:paraId="4D97CFC3" w14:textId="77777777" w:rsidR="00267B9F" w:rsidRPr="00DA0FF2" w:rsidRDefault="00267B9F" w:rsidP="005335D0">
            <w:pPr>
              <w:pStyle w:val="Tabelleninhalt"/>
            </w:pPr>
            <w:r w:rsidRPr="00DA0FF2">
              <w:t>0,00022 (320 ppm)</w:t>
            </w:r>
          </w:p>
        </w:tc>
      </w:tr>
      <w:tr w:rsidR="00267B9F" w:rsidRPr="00C77031" w14:paraId="6A4E94F9" w14:textId="77777777" w:rsidTr="005335D0">
        <w:trPr>
          <w:trHeight w:val="23"/>
        </w:trPr>
        <w:tc>
          <w:tcPr>
            <w:tcW w:w="6204" w:type="dxa"/>
            <w:shd w:val="clear" w:color="auto" w:fill="FFFFFF" w:themeFill="background1"/>
            <w:vAlign w:val="center"/>
          </w:tcPr>
          <w:p w14:paraId="29D7ED9C" w14:textId="77777777" w:rsidR="00267B9F" w:rsidRPr="00DA0FF2" w:rsidRDefault="00267B9F" w:rsidP="005335D0">
            <w:pPr>
              <w:pStyle w:val="Tabelleninhalt"/>
            </w:pPr>
            <w:r w:rsidRPr="00DA0FF2">
              <w:t>Druck-Inhaltsprodukt des größten in der Wärmepumpe integrierten Druckbehälters [bar*l]</w:t>
            </w:r>
          </w:p>
        </w:tc>
        <w:tc>
          <w:tcPr>
            <w:tcW w:w="2976" w:type="dxa"/>
            <w:shd w:val="clear" w:color="auto" w:fill="FFFFFF" w:themeFill="background1"/>
            <w:vAlign w:val="center"/>
          </w:tcPr>
          <w:p w14:paraId="5BC3317E" w14:textId="77777777" w:rsidR="00267B9F" w:rsidRPr="00DA0FF2" w:rsidRDefault="00267B9F" w:rsidP="005335D0">
            <w:pPr>
              <w:pStyle w:val="Tabelleninhalt"/>
            </w:pPr>
          </w:p>
        </w:tc>
      </w:tr>
      <w:tr w:rsidR="00267B9F" w:rsidRPr="00C77031" w14:paraId="5A07401F" w14:textId="77777777" w:rsidTr="005335D0">
        <w:trPr>
          <w:trHeight w:val="23"/>
        </w:trPr>
        <w:tc>
          <w:tcPr>
            <w:tcW w:w="6204" w:type="dxa"/>
            <w:shd w:val="clear" w:color="auto" w:fill="FFFFFF" w:themeFill="background1"/>
            <w:vAlign w:val="center"/>
          </w:tcPr>
          <w:p w14:paraId="63B60B5E" w14:textId="77777777" w:rsidR="00267B9F" w:rsidRPr="00DA0FF2" w:rsidRDefault="00267B9F" w:rsidP="005335D0">
            <w:pPr>
              <w:pStyle w:val="Tabelleninhalt"/>
            </w:pPr>
            <w:r w:rsidRPr="00DA0FF2">
              <w:t>Art der Wärmepumpe gemäß Anlage 3 DGÜW-V (Kleinanlage, Kleingewerbeanlage, Großgewerbeanlage oder Industrieanlage)</w:t>
            </w:r>
          </w:p>
        </w:tc>
        <w:tc>
          <w:tcPr>
            <w:tcW w:w="2976" w:type="dxa"/>
            <w:shd w:val="clear" w:color="auto" w:fill="FFFFFF" w:themeFill="background1"/>
            <w:vAlign w:val="center"/>
          </w:tcPr>
          <w:p w14:paraId="59DEF91A" w14:textId="77777777" w:rsidR="00267B9F" w:rsidRPr="00DA0FF2" w:rsidRDefault="00267B9F" w:rsidP="005335D0">
            <w:pPr>
              <w:pStyle w:val="Tabelleninhalt"/>
            </w:pPr>
          </w:p>
        </w:tc>
      </w:tr>
      <w:tr w:rsidR="00267B9F" w:rsidRPr="00C77031" w14:paraId="466EC910" w14:textId="77777777" w:rsidTr="005335D0">
        <w:trPr>
          <w:trHeight w:val="23"/>
        </w:trPr>
        <w:tc>
          <w:tcPr>
            <w:tcW w:w="6204" w:type="dxa"/>
            <w:shd w:val="clear" w:color="auto" w:fill="FFFFFF" w:themeFill="background1"/>
            <w:vAlign w:val="center"/>
          </w:tcPr>
          <w:p w14:paraId="6333D1C2" w14:textId="77777777" w:rsidR="00267B9F" w:rsidRPr="00DA0FF2" w:rsidRDefault="00267B9F" w:rsidP="005335D0">
            <w:pPr>
              <w:pStyle w:val="Tabelleninhalt"/>
            </w:pPr>
            <w:r w:rsidRPr="00DA0FF2">
              <w:t>Gefahrenpotential gemäß DGÜW-V</w:t>
            </w:r>
          </w:p>
        </w:tc>
        <w:tc>
          <w:tcPr>
            <w:tcW w:w="2976" w:type="dxa"/>
            <w:shd w:val="clear" w:color="auto" w:fill="FFFFFF" w:themeFill="background1"/>
            <w:vAlign w:val="center"/>
          </w:tcPr>
          <w:p w14:paraId="5602D9EA" w14:textId="77777777" w:rsidR="00267B9F" w:rsidRPr="00DA0FF2" w:rsidRDefault="00267B9F" w:rsidP="005335D0">
            <w:pPr>
              <w:pStyle w:val="Tabelleninhalt"/>
              <w:keepNext/>
            </w:pPr>
          </w:p>
        </w:tc>
      </w:tr>
    </w:tbl>
    <w:p w14:paraId="23244999" w14:textId="77777777" w:rsidR="00267B9F" w:rsidRDefault="005335D0" w:rsidP="005335D0">
      <w:pPr>
        <w:pStyle w:val="Beschriftung"/>
      </w:pPr>
      <w:r>
        <w:t xml:space="preserve">Tab. </w:t>
      </w:r>
      <w:r w:rsidR="00AB5C47">
        <w:fldChar w:fldCharType="begin"/>
      </w:r>
      <w:r w:rsidR="00AB5C47">
        <w:instrText xml:space="preserve"> SEQ Tab. \* ARABIC </w:instrText>
      </w:r>
      <w:r w:rsidR="00AB5C47">
        <w:fldChar w:fldCharType="separate"/>
      </w:r>
      <w:r w:rsidR="00296A4C">
        <w:rPr>
          <w:noProof/>
        </w:rPr>
        <w:t>1</w:t>
      </w:r>
      <w:r w:rsidR="00AB5C47">
        <w:rPr>
          <w:noProof/>
        </w:rPr>
        <w:fldChar w:fldCharType="end"/>
      </w:r>
      <w:r>
        <w:t>: Technische Daten-Wärmepumpe</w:t>
      </w:r>
    </w:p>
    <w:p w14:paraId="422843CE" w14:textId="77777777" w:rsidR="005335D0" w:rsidRPr="005335D0" w:rsidRDefault="005335D0" w:rsidP="005335D0"/>
    <w:tbl>
      <w:tblPr>
        <w:tblStyle w:val="Tabellenraster"/>
        <w:tblW w:w="0" w:type="auto"/>
        <w:tblBorders>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1123"/>
        <w:gridCol w:w="8157"/>
      </w:tblGrid>
      <w:tr w:rsidR="005335D0" w:rsidRPr="00653CF1" w14:paraId="02B4E488" w14:textId="77777777" w:rsidTr="00346970">
        <w:tc>
          <w:tcPr>
            <w:tcW w:w="988" w:type="dxa"/>
            <w:shd w:val="clear" w:color="auto" w:fill="F2F2F2" w:themeFill="background1" w:themeFillShade="F2"/>
          </w:tcPr>
          <w:p w14:paraId="1DBE0BC8" w14:textId="77777777" w:rsidR="005335D0" w:rsidRDefault="005335D0" w:rsidP="007F5261">
            <w:r>
              <w:rPr>
                <w:noProof/>
                <w:lang w:val="de-AT" w:eastAsia="de-AT"/>
              </w:rPr>
              <w:lastRenderedPageBreak/>
              <w:drawing>
                <wp:inline distT="0" distB="0" distL="0" distR="0" wp14:anchorId="441E5D95" wp14:editId="5BF8F52B">
                  <wp:extent cx="576000" cy="576000"/>
                  <wp:effectExtent l="0" t="0" r="0" b="0"/>
                  <wp:docPr id="13" name="Grafik 13" descr="C:\Users\u0500011\AppData\Local\Microsoft\Windows\INetCache\Content.Word\Informa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500011\AppData\Local\Microsoft\Windows\INetCache\Content.Word\Informations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1ED6B83F" w14:textId="77777777" w:rsidR="005335D0" w:rsidRDefault="005335D0" w:rsidP="007F5261"/>
          <w:p w14:paraId="2E671265" w14:textId="77777777" w:rsidR="005335D0" w:rsidRPr="008B7133" w:rsidRDefault="005335D0" w:rsidP="007F5261"/>
        </w:tc>
        <w:tc>
          <w:tcPr>
            <w:tcW w:w="8157" w:type="dxa"/>
            <w:shd w:val="clear" w:color="auto" w:fill="F2F2F2" w:themeFill="background1" w:themeFillShade="F2"/>
          </w:tcPr>
          <w:p w14:paraId="4339676F" w14:textId="77777777" w:rsidR="009C4DEF" w:rsidRPr="009C4DEF" w:rsidRDefault="009C4DEF" w:rsidP="009C4DEF">
            <w:pPr>
              <w:rPr>
                <w:rStyle w:val="IntensiveHervorhebung"/>
                <w:b/>
              </w:rPr>
            </w:pPr>
            <w:r w:rsidRPr="009C4DEF">
              <w:rPr>
                <w:rStyle w:val="IntensiveHervorhebung"/>
                <w:b/>
              </w:rPr>
              <w:t>Hinweis:</w:t>
            </w:r>
          </w:p>
          <w:p w14:paraId="0C41F6C0" w14:textId="77777777" w:rsidR="005335D0" w:rsidRPr="00346970" w:rsidRDefault="005335D0" w:rsidP="005335D0">
            <w:pPr>
              <w:rPr>
                <w:rStyle w:val="IntensiveHervorhebung"/>
              </w:rPr>
            </w:pPr>
            <w:r w:rsidRPr="00346970">
              <w:rPr>
                <w:rStyle w:val="IntensiveHervorhebung"/>
              </w:rPr>
              <w:t>Die Art der Wärmepumpe gemäß Anlage 3 DGÜW-V wird auf Basis des Druck-Inhaltsproduktes des größten in der Wärmepumpe integrierten Druckbehälters festgelegt.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3883"/>
            </w:tblGrid>
            <w:tr w:rsidR="00346970" w:rsidRPr="00346970" w14:paraId="3DAEB999" w14:textId="77777777" w:rsidTr="007F5261">
              <w:tc>
                <w:tcPr>
                  <w:tcW w:w="3882" w:type="dxa"/>
                </w:tcPr>
                <w:p w14:paraId="59A3ED07" w14:textId="77777777" w:rsidR="005335D0" w:rsidRPr="00346970" w:rsidRDefault="005335D0" w:rsidP="005335D0">
                  <w:pPr>
                    <w:pStyle w:val="Listenabsatz"/>
                    <w:numPr>
                      <w:ilvl w:val="0"/>
                      <w:numId w:val="22"/>
                    </w:numPr>
                    <w:spacing w:after="100" w:line="300" w:lineRule="atLeast"/>
                    <w:jc w:val="both"/>
                    <w:rPr>
                      <w:rStyle w:val="IntensiveHervorhebung"/>
                    </w:rPr>
                  </w:pPr>
                  <w:r w:rsidRPr="00346970">
                    <w:rPr>
                      <w:rStyle w:val="IntensiveHervorhebung"/>
                    </w:rPr>
                    <w:t>Kleinanlagen</w:t>
                  </w:r>
                </w:p>
              </w:tc>
              <w:tc>
                <w:tcPr>
                  <w:tcW w:w="3883" w:type="dxa"/>
                </w:tcPr>
                <w:p w14:paraId="00C9181D" w14:textId="77777777" w:rsidR="005335D0" w:rsidRPr="00346970" w:rsidRDefault="005335D0" w:rsidP="005335D0">
                  <w:pPr>
                    <w:rPr>
                      <w:rStyle w:val="IntensiveHervorhebung"/>
                    </w:rPr>
                  </w:pPr>
                  <w:r w:rsidRPr="00346970">
                    <w:rPr>
                      <w:rStyle w:val="IntensiveHervorhebung"/>
                    </w:rPr>
                    <w:t>≤ 700 bar*l</w:t>
                  </w:r>
                </w:p>
              </w:tc>
            </w:tr>
            <w:tr w:rsidR="00346970" w:rsidRPr="00346970" w14:paraId="7D7AA7C2" w14:textId="77777777" w:rsidTr="007F5261">
              <w:tc>
                <w:tcPr>
                  <w:tcW w:w="3882" w:type="dxa"/>
                </w:tcPr>
                <w:p w14:paraId="7312EABD" w14:textId="77777777" w:rsidR="005335D0" w:rsidRPr="00346970" w:rsidRDefault="005335D0" w:rsidP="005335D0">
                  <w:pPr>
                    <w:pStyle w:val="Listenabsatz"/>
                    <w:numPr>
                      <w:ilvl w:val="0"/>
                      <w:numId w:val="22"/>
                    </w:numPr>
                    <w:spacing w:after="100" w:line="300" w:lineRule="atLeast"/>
                    <w:jc w:val="both"/>
                    <w:rPr>
                      <w:rStyle w:val="IntensiveHervorhebung"/>
                    </w:rPr>
                  </w:pPr>
                  <w:r w:rsidRPr="00346970">
                    <w:rPr>
                      <w:rStyle w:val="IntensiveHervorhebung"/>
                    </w:rPr>
                    <w:t>Kleingewerbeanlagen</w:t>
                  </w:r>
                </w:p>
              </w:tc>
              <w:tc>
                <w:tcPr>
                  <w:tcW w:w="3883" w:type="dxa"/>
                </w:tcPr>
                <w:p w14:paraId="37C436E4" w14:textId="77777777" w:rsidR="005335D0" w:rsidRPr="00346970" w:rsidRDefault="005335D0" w:rsidP="005335D0">
                  <w:pPr>
                    <w:rPr>
                      <w:rStyle w:val="IntensiveHervorhebung"/>
                    </w:rPr>
                  </w:pPr>
                  <w:r w:rsidRPr="00346970">
                    <w:rPr>
                      <w:rStyle w:val="IntensiveHervorhebung"/>
                    </w:rPr>
                    <w:t>&gt; 700 bar*l und ≤ 3000 bar*l</w:t>
                  </w:r>
                </w:p>
              </w:tc>
            </w:tr>
            <w:tr w:rsidR="00346970" w:rsidRPr="00346970" w14:paraId="0FE40E79" w14:textId="77777777" w:rsidTr="007F5261">
              <w:tc>
                <w:tcPr>
                  <w:tcW w:w="3882" w:type="dxa"/>
                </w:tcPr>
                <w:p w14:paraId="6582C2FF" w14:textId="77777777" w:rsidR="005335D0" w:rsidRPr="00346970" w:rsidRDefault="005335D0" w:rsidP="005335D0">
                  <w:pPr>
                    <w:pStyle w:val="Listenabsatz"/>
                    <w:numPr>
                      <w:ilvl w:val="0"/>
                      <w:numId w:val="22"/>
                    </w:numPr>
                    <w:spacing w:after="100" w:line="300" w:lineRule="atLeast"/>
                    <w:jc w:val="both"/>
                    <w:rPr>
                      <w:rStyle w:val="IntensiveHervorhebung"/>
                    </w:rPr>
                  </w:pPr>
                  <w:r w:rsidRPr="00346970">
                    <w:rPr>
                      <w:rStyle w:val="IntensiveHervorhebung"/>
                    </w:rPr>
                    <w:t>Großgewerbeanlagen</w:t>
                  </w:r>
                </w:p>
              </w:tc>
              <w:tc>
                <w:tcPr>
                  <w:tcW w:w="3883" w:type="dxa"/>
                </w:tcPr>
                <w:p w14:paraId="647FA4D9" w14:textId="77777777" w:rsidR="005335D0" w:rsidRPr="00346970" w:rsidRDefault="005335D0" w:rsidP="005335D0">
                  <w:pPr>
                    <w:rPr>
                      <w:rStyle w:val="IntensiveHervorhebung"/>
                    </w:rPr>
                  </w:pPr>
                  <w:r w:rsidRPr="00346970">
                    <w:rPr>
                      <w:rStyle w:val="IntensiveHervorhebung"/>
                    </w:rPr>
                    <w:t>&gt; 3000 bar*l und ≤ 6000 bar*l</w:t>
                  </w:r>
                </w:p>
              </w:tc>
            </w:tr>
            <w:tr w:rsidR="00346970" w:rsidRPr="00346970" w14:paraId="16939430" w14:textId="77777777" w:rsidTr="007F5261">
              <w:tc>
                <w:tcPr>
                  <w:tcW w:w="3882" w:type="dxa"/>
                </w:tcPr>
                <w:p w14:paraId="3B0BF22D" w14:textId="77777777" w:rsidR="005335D0" w:rsidRPr="00346970" w:rsidRDefault="005335D0" w:rsidP="005335D0">
                  <w:pPr>
                    <w:pStyle w:val="Listenabsatz"/>
                    <w:numPr>
                      <w:ilvl w:val="0"/>
                      <w:numId w:val="22"/>
                    </w:numPr>
                    <w:spacing w:after="100" w:line="300" w:lineRule="atLeast"/>
                    <w:jc w:val="both"/>
                    <w:rPr>
                      <w:rStyle w:val="IntensiveHervorhebung"/>
                    </w:rPr>
                  </w:pPr>
                  <w:r w:rsidRPr="00346970">
                    <w:rPr>
                      <w:rStyle w:val="IntensiveHervorhebung"/>
                    </w:rPr>
                    <w:t>Industrieanlagen</w:t>
                  </w:r>
                </w:p>
              </w:tc>
              <w:tc>
                <w:tcPr>
                  <w:tcW w:w="3883" w:type="dxa"/>
                </w:tcPr>
                <w:p w14:paraId="5456875B" w14:textId="77777777" w:rsidR="005335D0" w:rsidRPr="00346970" w:rsidRDefault="005335D0" w:rsidP="005335D0">
                  <w:pPr>
                    <w:rPr>
                      <w:rStyle w:val="IntensiveHervorhebung"/>
                    </w:rPr>
                  </w:pPr>
                  <w:r w:rsidRPr="00346970">
                    <w:rPr>
                      <w:rStyle w:val="IntensiveHervorhebung"/>
                    </w:rPr>
                    <w:t>&gt; 6000 bar*l</w:t>
                  </w:r>
                </w:p>
              </w:tc>
            </w:tr>
          </w:tbl>
          <w:p w14:paraId="36A8BF05" w14:textId="77777777" w:rsidR="005335D0" w:rsidRPr="00653CF1" w:rsidRDefault="005335D0" w:rsidP="005335D0">
            <w:pPr>
              <w:rPr>
                <w:rStyle w:val="IntensiveHervorhebung"/>
              </w:rPr>
            </w:pPr>
          </w:p>
        </w:tc>
      </w:tr>
    </w:tbl>
    <w:p w14:paraId="70AFF458" w14:textId="77777777" w:rsidR="00267B9F" w:rsidRPr="00267B9F" w:rsidRDefault="00267B9F" w:rsidP="00267B9F">
      <w:pPr>
        <w:suppressAutoHyphens/>
        <w:rPr>
          <w:rFonts w:cs="Arial"/>
          <w:color w:val="00B050"/>
          <w:szCs w:val="20"/>
        </w:rPr>
      </w:pPr>
    </w:p>
    <w:p w14:paraId="293DC3FE" w14:textId="77777777" w:rsidR="00267B9F" w:rsidRPr="00267B9F" w:rsidRDefault="00267B9F" w:rsidP="00267B9F">
      <w:pPr>
        <w:rPr>
          <w:rFonts w:cs="Arial"/>
          <w:b/>
          <w:smallCaps/>
          <w:color w:val="00B050"/>
          <w:szCs w:val="20"/>
        </w:rPr>
      </w:pPr>
      <w:r w:rsidRPr="00267B9F">
        <w:rPr>
          <w:rFonts w:cs="Arial"/>
          <w:b/>
          <w:smallCaps/>
          <w:color w:val="00B050"/>
          <w:szCs w:val="20"/>
        </w:rPr>
        <w:t>Allgemeine Beschreibung der Anlage einfügen</w:t>
      </w:r>
      <w:r>
        <w:rPr>
          <w:rFonts w:cs="Arial"/>
          <w:b/>
          <w:smallCaps/>
          <w:color w:val="00B050"/>
          <w:szCs w:val="20"/>
        </w:rPr>
        <w:t>!</w:t>
      </w:r>
    </w:p>
    <w:p w14:paraId="4194A098" w14:textId="77777777" w:rsidR="00267B9F" w:rsidRPr="00267B9F" w:rsidRDefault="00267B9F" w:rsidP="00267B9F"/>
    <w:p w14:paraId="7DE1BF55" w14:textId="77777777" w:rsidR="00982455" w:rsidRDefault="00267B9F" w:rsidP="00267B9F">
      <w:pPr>
        <w:pStyle w:val="berschrift2"/>
      </w:pPr>
      <w:r>
        <w:t>Berechnung der möglichen Konzentration in den Aufstellungsräumen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34"/>
        <w:gridCol w:w="1701"/>
        <w:gridCol w:w="1417"/>
        <w:gridCol w:w="1134"/>
        <w:gridCol w:w="1134"/>
        <w:gridCol w:w="1701"/>
        <w:gridCol w:w="802"/>
        <w:gridCol w:w="757"/>
      </w:tblGrid>
      <w:tr w:rsidR="00267B9F" w:rsidRPr="00C77031" w14:paraId="302FCEFD" w14:textId="77777777" w:rsidTr="0086562F">
        <w:trPr>
          <w:trHeight w:val="679"/>
        </w:trPr>
        <w:tc>
          <w:tcPr>
            <w:tcW w:w="534" w:type="dxa"/>
            <w:vMerge w:val="restart"/>
            <w:shd w:val="clear" w:color="auto" w:fill="BFBFBF" w:themeFill="background1" w:themeFillShade="BF"/>
            <w:vAlign w:val="center"/>
          </w:tcPr>
          <w:p w14:paraId="58761118" w14:textId="77777777" w:rsidR="00267B9F" w:rsidRPr="005335D0" w:rsidRDefault="00267B9F" w:rsidP="005335D0">
            <w:pPr>
              <w:pStyle w:val="Tabelleninhalt"/>
              <w:rPr>
                <w:b/>
              </w:rPr>
            </w:pPr>
            <w:r w:rsidRPr="005335D0">
              <w:rPr>
                <w:b/>
              </w:rPr>
              <w:t>Nr.</w:t>
            </w:r>
          </w:p>
        </w:tc>
        <w:tc>
          <w:tcPr>
            <w:tcW w:w="1701" w:type="dxa"/>
            <w:vMerge w:val="restart"/>
            <w:shd w:val="clear" w:color="auto" w:fill="BFBFBF" w:themeFill="background1" w:themeFillShade="BF"/>
            <w:vAlign w:val="center"/>
          </w:tcPr>
          <w:p w14:paraId="447AB13E" w14:textId="77777777" w:rsidR="00267B9F" w:rsidRPr="005335D0" w:rsidRDefault="00267B9F" w:rsidP="005335D0">
            <w:pPr>
              <w:pStyle w:val="Tabelleninhalt"/>
              <w:rPr>
                <w:b/>
              </w:rPr>
            </w:pPr>
            <w:r w:rsidRPr="005335D0">
              <w:rPr>
                <w:b/>
              </w:rPr>
              <w:t>Aufstellungsort</w:t>
            </w:r>
          </w:p>
        </w:tc>
        <w:tc>
          <w:tcPr>
            <w:tcW w:w="1417" w:type="dxa"/>
            <w:vMerge w:val="restart"/>
            <w:shd w:val="clear" w:color="auto" w:fill="BFBFBF" w:themeFill="background1" w:themeFillShade="BF"/>
            <w:vAlign w:val="center"/>
          </w:tcPr>
          <w:p w14:paraId="31EE641A" w14:textId="77777777" w:rsidR="00267B9F" w:rsidRPr="005335D0" w:rsidRDefault="00267B9F" w:rsidP="005335D0">
            <w:pPr>
              <w:pStyle w:val="Tabelleninhalt"/>
              <w:rPr>
                <w:b/>
              </w:rPr>
            </w:pPr>
            <w:r w:rsidRPr="005335D0">
              <w:rPr>
                <w:b/>
              </w:rPr>
              <w:t>Anlagenteil</w:t>
            </w:r>
          </w:p>
        </w:tc>
        <w:tc>
          <w:tcPr>
            <w:tcW w:w="1134" w:type="dxa"/>
            <w:vMerge w:val="restart"/>
            <w:shd w:val="clear" w:color="auto" w:fill="BFBFBF" w:themeFill="background1" w:themeFillShade="BF"/>
            <w:vAlign w:val="center"/>
          </w:tcPr>
          <w:p w14:paraId="2183055A" w14:textId="77777777" w:rsidR="00267B9F" w:rsidRPr="005335D0" w:rsidRDefault="00267B9F" w:rsidP="005335D0">
            <w:pPr>
              <w:pStyle w:val="Tabelleninhalt"/>
              <w:rPr>
                <w:b/>
              </w:rPr>
            </w:pPr>
            <w:r w:rsidRPr="005335D0">
              <w:rPr>
                <w:b/>
              </w:rPr>
              <w:t>Zugangs-bereich</w:t>
            </w:r>
          </w:p>
          <w:p w14:paraId="3A71013F" w14:textId="77777777" w:rsidR="00267B9F" w:rsidRPr="005335D0" w:rsidRDefault="00267B9F" w:rsidP="005335D0">
            <w:pPr>
              <w:pStyle w:val="Tabelleninhalt"/>
              <w:rPr>
                <w:b/>
              </w:rPr>
            </w:pPr>
            <w:r w:rsidRPr="005335D0">
              <w:rPr>
                <w:b/>
              </w:rPr>
              <w:t>(A</w:t>
            </w:r>
            <w:r w:rsidRPr="005335D0">
              <w:rPr>
                <w:rStyle w:val="Funotenzeichen"/>
                <w:rFonts w:cs="Arial"/>
                <w:b/>
                <w:szCs w:val="20"/>
              </w:rPr>
              <w:footnoteReference w:id="1"/>
            </w:r>
            <w:r w:rsidRPr="005335D0">
              <w:rPr>
                <w:b/>
              </w:rPr>
              <w:t>/B</w:t>
            </w:r>
            <w:r w:rsidRPr="005335D0">
              <w:rPr>
                <w:rStyle w:val="Funotenzeichen"/>
                <w:rFonts w:cs="Arial"/>
                <w:b/>
                <w:szCs w:val="20"/>
              </w:rPr>
              <w:footnoteReference w:id="2"/>
            </w:r>
            <w:r w:rsidRPr="005335D0">
              <w:rPr>
                <w:b/>
              </w:rPr>
              <w:t xml:space="preserve">) </w:t>
            </w:r>
          </w:p>
        </w:tc>
        <w:tc>
          <w:tcPr>
            <w:tcW w:w="1134" w:type="dxa"/>
            <w:vMerge w:val="restart"/>
            <w:shd w:val="clear" w:color="auto" w:fill="BFBFBF" w:themeFill="background1" w:themeFillShade="BF"/>
            <w:vAlign w:val="center"/>
          </w:tcPr>
          <w:p w14:paraId="1C49A688" w14:textId="77777777" w:rsidR="00267B9F" w:rsidRPr="005335D0" w:rsidRDefault="00267B9F" w:rsidP="005335D0">
            <w:pPr>
              <w:pStyle w:val="Tabelleninhalt"/>
              <w:rPr>
                <w:b/>
              </w:rPr>
            </w:pPr>
            <w:r w:rsidRPr="005335D0">
              <w:rPr>
                <w:b/>
              </w:rPr>
              <w:t>Raum-volumen bei H = 2,2 m [m³]</w:t>
            </w:r>
          </w:p>
        </w:tc>
        <w:tc>
          <w:tcPr>
            <w:tcW w:w="1701" w:type="dxa"/>
            <w:vMerge w:val="restart"/>
            <w:shd w:val="clear" w:color="auto" w:fill="BFBFBF" w:themeFill="background1" w:themeFillShade="BF"/>
            <w:vAlign w:val="center"/>
          </w:tcPr>
          <w:p w14:paraId="50865E50" w14:textId="77777777" w:rsidR="00267B9F" w:rsidRPr="005335D0" w:rsidRDefault="00267B9F" w:rsidP="005335D0">
            <w:pPr>
              <w:pStyle w:val="Tabelleninhalt"/>
              <w:rPr>
                <w:b/>
              </w:rPr>
            </w:pPr>
            <w:r w:rsidRPr="005335D0">
              <w:rPr>
                <w:b/>
              </w:rPr>
              <w:t xml:space="preserve">Konzentration bei Leckage </w:t>
            </w:r>
            <w:proofErr w:type="spellStart"/>
            <w:r w:rsidRPr="005335D0">
              <w:rPr>
                <w:b/>
              </w:rPr>
              <w:t>X</w:t>
            </w:r>
            <w:r w:rsidRPr="005335D0">
              <w:rPr>
                <w:b/>
                <w:vertAlign w:val="subscript"/>
              </w:rPr>
              <w:t>Raum</w:t>
            </w:r>
            <w:proofErr w:type="spellEnd"/>
            <w:r w:rsidRPr="005335D0">
              <w:rPr>
                <w:b/>
              </w:rPr>
              <w:t xml:space="preserve"> [kg/m³]</w:t>
            </w:r>
          </w:p>
        </w:tc>
        <w:tc>
          <w:tcPr>
            <w:tcW w:w="1559" w:type="dxa"/>
            <w:gridSpan w:val="2"/>
            <w:shd w:val="clear" w:color="auto" w:fill="BFBFBF" w:themeFill="background1" w:themeFillShade="BF"/>
            <w:vAlign w:val="center"/>
          </w:tcPr>
          <w:p w14:paraId="4DDCF1A9" w14:textId="77777777" w:rsidR="00267B9F" w:rsidRPr="005335D0" w:rsidRDefault="00267B9F" w:rsidP="005335D0">
            <w:pPr>
              <w:pStyle w:val="Tabelleninhalt"/>
              <w:rPr>
                <w:b/>
                <w:vertAlign w:val="subscript"/>
              </w:rPr>
            </w:pPr>
            <w:r w:rsidRPr="005335D0">
              <w:rPr>
                <w:b/>
              </w:rPr>
              <w:t xml:space="preserve">Daraus folgt: </w:t>
            </w:r>
            <w:proofErr w:type="spellStart"/>
            <w:r w:rsidRPr="005335D0">
              <w:rPr>
                <w:b/>
              </w:rPr>
              <w:t>X</w:t>
            </w:r>
            <w:r w:rsidRPr="005335D0">
              <w:rPr>
                <w:b/>
                <w:vertAlign w:val="subscript"/>
              </w:rPr>
              <w:t>Raum</w:t>
            </w:r>
            <w:proofErr w:type="spellEnd"/>
            <w:r w:rsidRPr="005335D0">
              <w:rPr>
                <w:b/>
                <w:vertAlign w:val="subscript"/>
              </w:rPr>
              <w:t xml:space="preserve"> &lt; </w:t>
            </w:r>
            <w:proofErr w:type="spellStart"/>
            <w:r w:rsidRPr="005335D0">
              <w:rPr>
                <w:b/>
              </w:rPr>
              <w:t>X</w:t>
            </w:r>
            <w:r w:rsidRPr="005335D0">
              <w:rPr>
                <w:b/>
                <w:vertAlign w:val="subscript"/>
              </w:rPr>
              <w:t>min</w:t>
            </w:r>
            <w:proofErr w:type="spellEnd"/>
          </w:p>
        </w:tc>
      </w:tr>
      <w:tr w:rsidR="00267B9F" w:rsidRPr="00C77031" w14:paraId="626823A9" w14:textId="77777777" w:rsidTr="0086562F">
        <w:trPr>
          <w:trHeight w:val="720"/>
        </w:trPr>
        <w:tc>
          <w:tcPr>
            <w:tcW w:w="534" w:type="dxa"/>
            <w:vMerge/>
            <w:shd w:val="clear" w:color="auto" w:fill="BFBFBF" w:themeFill="background1" w:themeFillShade="BF"/>
            <w:vAlign w:val="center"/>
          </w:tcPr>
          <w:p w14:paraId="35249DA5" w14:textId="77777777" w:rsidR="00267B9F" w:rsidRPr="005335D0" w:rsidRDefault="00267B9F" w:rsidP="005335D0">
            <w:pPr>
              <w:pStyle w:val="Tabelleninhalt"/>
              <w:rPr>
                <w:b/>
              </w:rPr>
            </w:pPr>
          </w:p>
        </w:tc>
        <w:tc>
          <w:tcPr>
            <w:tcW w:w="1701" w:type="dxa"/>
            <w:vMerge/>
            <w:shd w:val="clear" w:color="auto" w:fill="BFBFBF" w:themeFill="background1" w:themeFillShade="BF"/>
            <w:vAlign w:val="center"/>
          </w:tcPr>
          <w:p w14:paraId="58C0A5B2" w14:textId="77777777" w:rsidR="00267B9F" w:rsidRPr="005335D0" w:rsidRDefault="00267B9F" w:rsidP="005335D0">
            <w:pPr>
              <w:pStyle w:val="Tabelleninhalt"/>
              <w:rPr>
                <w:b/>
              </w:rPr>
            </w:pPr>
          </w:p>
        </w:tc>
        <w:tc>
          <w:tcPr>
            <w:tcW w:w="1417" w:type="dxa"/>
            <w:vMerge/>
            <w:shd w:val="clear" w:color="auto" w:fill="BFBFBF" w:themeFill="background1" w:themeFillShade="BF"/>
            <w:vAlign w:val="center"/>
          </w:tcPr>
          <w:p w14:paraId="71A186F0" w14:textId="77777777" w:rsidR="00267B9F" w:rsidRPr="005335D0" w:rsidRDefault="00267B9F" w:rsidP="005335D0">
            <w:pPr>
              <w:pStyle w:val="Tabelleninhalt"/>
              <w:rPr>
                <w:b/>
              </w:rPr>
            </w:pPr>
          </w:p>
        </w:tc>
        <w:tc>
          <w:tcPr>
            <w:tcW w:w="1134" w:type="dxa"/>
            <w:vMerge/>
            <w:shd w:val="clear" w:color="auto" w:fill="BFBFBF" w:themeFill="background1" w:themeFillShade="BF"/>
            <w:vAlign w:val="center"/>
          </w:tcPr>
          <w:p w14:paraId="5CC286E4" w14:textId="77777777" w:rsidR="00267B9F" w:rsidRPr="005335D0" w:rsidRDefault="00267B9F" w:rsidP="005335D0">
            <w:pPr>
              <w:pStyle w:val="Tabelleninhalt"/>
              <w:rPr>
                <w:b/>
              </w:rPr>
            </w:pPr>
          </w:p>
        </w:tc>
        <w:tc>
          <w:tcPr>
            <w:tcW w:w="1134" w:type="dxa"/>
            <w:vMerge/>
            <w:shd w:val="clear" w:color="auto" w:fill="BFBFBF" w:themeFill="background1" w:themeFillShade="BF"/>
            <w:vAlign w:val="center"/>
          </w:tcPr>
          <w:p w14:paraId="2DBDD3A3" w14:textId="77777777" w:rsidR="00267B9F" w:rsidRPr="005335D0" w:rsidRDefault="00267B9F" w:rsidP="005335D0">
            <w:pPr>
              <w:pStyle w:val="Tabelleninhalt"/>
              <w:rPr>
                <w:b/>
              </w:rPr>
            </w:pPr>
          </w:p>
        </w:tc>
        <w:tc>
          <w:tcPr>
            <w:tcW w:w="1701" w:type="dxa"/>
            <w:vMerge/>
            <w:shd w:val="clear" w:color="auto" w:fill="BFBFBF" w:themeFill="background1" w:themeFillShade="BF"/>
            <w:vAlign w:val="center"/>
          </w:tcPr>
          <w:p w14:paraId="666CE2E3" w14:textId="77777777" w:rsidR="00267B9F" w:rsidRPr="005335D0" w:rsidRDefault="00267B9F" w:rsidP="005335D0">
            <w:pPr>
              <w:pStyle w:val="Tabelleninhalt"/>
              <w:rPr>
                <w:b/>
              </w:rPr>
            </w:pPr>
          </w:p>
        </w:tc>
        <w:tc>
          <w:tcPr>
            <w:tcW w:w="802" w:type="dxa"/>
            <w:shd w:val="clear" w:color="auto" w:fill="BFBFBF" w:themeFill="background1" w:themeFillShade="BF"/>
            <w:vAlign w:val="center"/>
          </w:tcPr>
          <w:p w14:paraId="7A491406" w14:textId="77777777" w:rsidR="00267B9F" w:rsidRPr="005335D0" w:rsidRDefault="00267B9F" w:rsidP="005335D0">
            <w:pPr>
              <w:pStyle w:val="Tabelleninhalt"/>
              <w:rPr>
                <w:b/>
              </w:rPr>
            </w:pPr>
            <w:r w:rsidRPr="005335D0">
              <w:rPr>
                <w:b/>
              </w:rPr>
              <w:t>Ja</w:t>
            </w:r>
          </w:p>
        </w:tc>
        <w:tc>
          <w:tcPr>
            <w:tcW w:w="757" w:type="dxa"/>
            <w:shd w:val="clear" w:color="auto" w:fill="BFBFBF" w:themeFill="background1" w:themeFillShade="BF"/>
            <w:vAlign w:val="center"/>
          </w:tcPr>
          <w:p w14:paraId="60922A28" w14:textId="77777777" w:rsidR="00267B9F" w:rsidRPr="005335D0" w:rsidRDefault="00267B9F" w:rsidP="005335D0">
            <w:pPr>
              <w:pStyle w:val="Tabelleninhalt"/>
              <w:rPr>
                <w:b/>
              </w:rPr>
            </w:pPr>
            <w:r w:rsidRPr="005335D0">
              <w:rPr>
                <w:b/>
              </w:rPr>
              <w:t>Nein</w:t>
            </w:r>
          </w:p>
        </w:tc>
      </w:tr>
      <w:tr w:rsidR="00267B9F" w:rsidRPr="00C77031" w14:paraId="0000486C" w14:textId="77777777" w:rsidTr="005335D0">
        <w:trPr>
          <w:trHeight w:val="18"/>
        </w:trPr>
        <w:tc>
          <w:tcPr>
            <w:tcW w:w="534" w:type="dxa"/>
            <w:shd w:val="clear" w:color="auto" w:fill="FFFFFF" w:themeFill="background1"/>
            <w:vAlign w:val="center"/>
          </w:tcPr>
          <w:p w14:paraId="502CF026" w14:textId="77777777" w:rsidR="00267B9F" w:rsidRPr="001973C0" w:rsidRDefault="00267B9F" w:rsidP="005335D0">
            <w:pPr>
              <w:pStyle w:val="Tabelleninhalt"/>
              <w:rPr>
                <w:color w:val="00B050"/>
              </w:rPr>
            </w:pPr>
            <w:r w:rsidRPr="001973C0">
              <w:rPr>
                <w:color w:val="00B050"/>
              </w:rPr>
              <w:t>1</w:t>
            </w:r>
          </w:p>
        </w:tc>
        <w:tc>
          <w:tcPr>
            <w:tcW w:w="1701" w:type="dxa"/>
            <w:shd w:val="clear" w:color="auto" w:fill="FFFFFF" w:themeFill="background1"/>
            <w:vAlign w:val="center"/>
          </w:tcPr>
          <w:p w14:paraId="6705AEE7" w14:textId="77777777" w:rsidR="00267B9F" w:rsidRPr="001973C0" w:rsidRDefault="00267B9F" w:rsidP="005335D0">
            <w:pPr>
              <w:pStyle w:val="Tabelleninhalt"/>
              <w:rPr>
                <w:color w:val="00B050"/>
              </w:rPr>
            </w:pPr>
            <w:r w:rsidRPr="001973C0">
              <w:rPr>
                <w:color w:val="00B050"/>
              </w:rPr>
              <w:t>Maschinenraum</w:t>
            </w:r>
          </w:p>
        </w:tc>
        <w:tc>
          <w:tcPr>
            <w:tcW w:w="1417" w:type="dxa"/>
            <w:shd w:val="clear" w:color="auto" w:fill="FFFFFF" w:themeFill="background1"/>
            <w:vAlign w:val="center"/>
          </w:tcPr>
          <w:p w14:paraId="6013D099" w14:textId="77777777" w:rsidR="00267B9F" w:rsidRPr="001973C0" w:rsidRDefault="00267B9F" w:rsidP="005335D0">
            <w:pPr>
              <w:pStyle w:val="Tabelleninhalt"/>
              <w:rPr>
                <w:color w:val="00B050"/>
              </w:rPr>
            </w:pPr>
            <w:r w:rsidRPr="001973C0">
              <w:rPr>
                <w:color w:val="00B050"/>
              </w:rPr>
              <w:t>Gesamte Wärme-pumpe</w:t>
            </w:r>
          </w:p>
        </w:tc>
        <w:tc>
          <w:tcPr>
            <w:tcW w:w="1134" w:type="dxa"/>
            <w:shd w:val="clear" w:color="auto" w:fill="FFFFFF" w:themeFill="background1"/>
            <w:vAlign w:val="center"/>
          </w:tcPr>
          <w:p w14:paraId="73366102" w14:textId="77777777" w:rsidR="00267B9F" w:rsidRPr="001973C0" w:rsidRDefault="00267B9F" w:rsidP="005335D0">
            <w:pPr>
              <w:pStyle w:val="Tabelleninhalt"/>
              <w:rPr>
                <w:color w:val="00B050"/>
              </w:rPr>
            </w:pPr>
            <w:r w:rsidRPr="001973C0">
              <w:rPr>
                <w:color w:val="00B050"/>
              </w:rPr>
              <w:t>B</w:t>
            </w:r>
          </w:p>
        </w:tc>
        <w:tc>
          <w:tcPr>
            <w:tcW w:w="1134" w:type="dxa"/>
            <w:shd w:val="clear" w:color="auto" w:fill="FFFFFF" w:themeFill="background1"/>
            <w:vAlign w:val="center"/>
          </w:tcPr>
          <w:p w14:paraId="08348B5B" w14:textId="77777777" w:rsidR="00267B9F" w:rsidRPr="001973C0" w:rsidRDefault="00267B9F" w:rsidP="005335D0">
            <w:pPr>
              <w:pStyle w:val="Tabelleninhalt"/>
              <w:rPr>
                <w:color w:val="00B050"/>
              </w:rPr>
            </w:pPr>
            <w:r w:rsidRPr="001973C0">
              <w:rPr>
                <w:color w:val="00B050"/>
              </w:rPr>
              <w:t>100</w:t>
            </w:r>
          </w:p>
        </w:tc>
        <w:tc>
          <w:tcPr>
            <w:tcW w:w="1701" w:type="dxa"/>
            <w:shd w:val="clear" w:color="auto" w:fill="FFFFFF" w:themeFill="background1"/>
            <w:vAlign w:val="center"/>
          </w:tcPr>
          <w:p w14:paraId="62D2DED3" w14:textId="77777777" w:rsidR="00267B9F" w:rsidRPr="00C77031" w:rsidRDefault="00267B9F" w:rsidP="005335D0">
            <w:pPr>
              <w:pStyle w:val="Tabelleninhalt"/>
            </w:pPr>
          </w:p>
        </w:tc>
        <w:tc>
          <w:tcPr>
            <w:tcW w:w="802" w:type="dxa"/>
            <w:shd w:val="clear" w:color="auto" w:fill="FFFFFF" w:themeFill="background1"/>
          </w:tcPr>
          <w:sdt>
            <w:sdtPr>
              <w:rPr>
                <w:sz w:val="28"/>
              </w:rPr>
              <w:id w:val="1617636740"/>
              <w14:checkbox>
                <w14:checked w14:val="1"/>
                <w14:checkedState w14:val="2612" w14:font="MS Gothic"/>
                <w14:uncheckedState w14:val="2610" w14:font="MS Gothic"/>
              </w14:checkbox>
            </w:sdtPr>
            <w:sdtEndPr/>
            <w:sdtContent>
              <w:p w14:paraId="4EBB2A68" w14:textId="77777777" w:rsidR="00267B9F" w:rsidRDefault="00267B9F" w:rsidP="005335D0">
                <w:pPr>
                  <w:pStyle w:val="Tabelleninhalt"/>
                </w:pPr>
                <w:r>
                  <w:rPr>
                    <w:rFonts w:ascii="MS Gothic" w:eastAsia="MS Gothic" w:hAnsi="MS Gothic" w:hint="eastAsia"/>
                    <w:sz w:val="28"/>
                  </w:rPr>
                  <w:t>☒</w:t>
                </w:r>
              </w:p>
            </w:sdtContent>
          </w:sdt>
        </w:tc>
        <w:tc>
          <w:tcPr>
            <w:tcW w:w="757" w:type="dxa"/>
            <w:shd w:val="clear" w:color="auto" w:fill="FFFFFF" w:themeFill="background1"/>
          </w:tcPr>
          <w:sdt>
            <w:sdtPr>
              <w:rPr>
                <w:sz w:val="28"/>
              </w:rPr>
              <w:id w:val="-643890442"/>
              <w14:checkbox>
                <w14:checked w14:val="0"/>
                <w14:checkedState w14:val="2612" w14:font="MS Gothic"/>
                <w14:uncheckedState w14:val="2610" w14:font="MS Gothic"/>
              </w14:checkbox>
            </w:sdtPr>
            <w:sdtEndPr/>
            <w:sdtContent>
              <w:p w14:paraId="7D56A4E1" w14:textId="77777777" w:rsidR="00267B9F" w:rsidRDefault="00267B9F" w:rsidP="00811CC2">
                <w:pPr>
                  <w:pStyle w:val="Tabelleninhalt"/>
                  <w:keepNext/>
                </w:pPr>
                <w:r>
                  <w:rPr>
                    <w:rFonts w:ascii="MS Gothic" w:eastAsia="MS Gothic" w:hAnsi="MS Gothic" w:hint="eastAsia"/>
                    <w:sz w:val="28"/>
                  </w:rPr>
                  <w:t>☐</w:t>
                </w:r>
              </w:p>
            </w:sdtContent>
          </w:sdt>
        </w:tc>
      </w:tr>
    </w:tbl>
    <w:p w14:paraId="25E7144E" w14:textId="77777777" w:rsidR="00267B9F" w:rsidRDefault="00811CC2" w:rsidP="00811CC2">
      <w:pPr>
        <w:pStyle w:val="Beschriftung"/>
      </w:pPr>
      <w:r>
        <w:t xml:space="preserve">Tab. </w:t>
      </w:r>
      <w:r w:rsidR="00AB5C47">
        <w:fldChar w:fldCharType="begin"/>
      </w:r>
      <w:r w:rsidR="00AB5C47">
        <w:instrText xml:space="preserve"> SEQ Tab. \* ARABIC </w:instrText>
      </w:r>
      <w:r w:rsidR="00AB5C47">
        <w:fldChar w:fldCharType="separate"/>
      </w:r>
      <w:r w:rsidR="00296A4C">
        <w:rPr>
          <w:noProof/>
        </w:rPr>
        <w:t>2</w:t>
      </w:r>
      <w:r w:rsidR="00AB5C47">
        <w:rPr>
          <w:noProof/>
        </w:rPr>
        <w:fldChar w:fldCharType="end"/>
      </w:r>
      <w:r>
        <w:t>: Konzentrationsberechnung</w:t>
      </w:r>
    </w:p>
    <w:tbl>
      <w:tblPr>
        <w:tblStyle w:val="Tabellenraster"/>
        <w:tblW w:w="0" w:type="auto"/>
        <w:tblBorders>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1123"/>
        <w:gridCol w:w="8157"/>
      </w:tblGrid>
      <w:tr w:rsidR="005335D0" w:rsidRPr="00653CF1" w14:paraId="7E9FD3AE" w14:textId="77777777" w:rsidTr="00346970">
        <w:tc>
          <w:tcPr>
            <w:tcW w:w="988" w:type="dxa"/>
            <w:shd w:val="clear" w:color="auto" w:fill="F2F2F2" w:themeFill="background1" w:themeFillShade="F2"/>
          </w:tcPr>
          <w:p w14:paraId="2D02A93D" w14:textId="77777777" w:rsidR="005335D0" w:rsidRDefault="005335D0" w:rsidP="007F5261">
            <w:r>
              <w:rPr>
                <w:noProof/>
                <w:lang w:val="de-AT" w:eastAsia="de-AT"/>
              </w:rPr>
              <w:drawing>
                <wp:inline distT="0" distB="0" distL="0" distR="0" wp14:anchorId="78E25CDE" wp14:editId="1F11A038">
                  <wp:extent cx="576000" cy="576000"/>
                  <wp:effectExtent l="0" t="0" r="0" b="0"/>
                  <wp:docPr id="16" name="Grafik 16" descr="C:\Users\u0500011\AppData\Local\Microsoft\Windows\INetCache\Content.Word\Informa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500011\AppData\Local\Microsoft\Windows\INetCache\Content.Word\Informations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5A235390" w14:textId="77777777" w:rsidR="005335D0" w:rsidRDefault="005335D0" w:rsidP="007F5261"/>
          <w:p w14:paraId="1849A351" w14:textId="77777777" w:rsidR="005335D0" w:rsidRPr="008B7133" w:rsidRDefault="005335D0" w:rsidP="007F5261"/>
        </w:tc>
        <w:tc>
          <w:tcPr>
            <w:tcW w:w="8157" w:type="dxa"/>
            <w:shd w:val="clear" w:color="auto" w:fill="F2F2F2" w:themeFill="background1" w:themeFillShade="F2"/>
          </w:tcPr>
          <w:p w14:paraId="5C0B1265" w14:textId="77777777" w:rsidR="009C4DEF" w:rsidRPr="009C4DEF" w:rsidRDefault="009C4DEF" w:rsidP="009C4DEF">
            <w:pPr>
              <w:rPr>
                <w:rStyle w:val="IntensiveHervorhebung"/>
                <w:b/>
              </w:rPr>
            </w:pPr>
            <w:r w:rsidRPr="009C4DEF">
              <w:rPr>
                <w:rStyle w:val="IntensiveHervorhebung"/>
                <w:b/>
              </w:rPr>
              <w:t>Hinweis:</w:t>
            </w:r>
          </w:p>
          <w:p w14:paraId="2FCDA0D5" w14:textId="77777777" w:rsidR="005335D0" w:rsidRPr="00653CF1" w:rsidRDefault="005335D0" w:rsidP="007F5261">
            <w:pPr>
              <w:rPr>
                <w:rStyle w:val="IntensiveHervorhebung"/>
              </w:rPr>
            </w:pPr>
            <w:r w:rsidRPr="00346970">
              <w:rPr>
                <w:rStyle w:val="IntensiveHervorhebung"/>
              </w:rPr>
              <w:t>Ammoniak-Wärmepumpen dürfen grundsätzlich nicht in Gebäuden oder abgeschlossenen Gebäudeteilen, in denen sich auch Wohnräume befinden, aufgestellt werden. Wenn es die örtlichen Verhältnisse gestatten, kann die zuständige Behörde gemäß § 11 Abs. 3 KAV zulassen, dass in solchen Gebäuden oder Gebäudeteilen auch Wärmepumpen aufgestellt werden, die mit nicht mehr als 50 kg Ammoniak betrieben werden.</w:t>
            </w:r>
          </w:p>
        </w:tc>
      </w:tr>
    </w:tbl>
    <w:p w14:paraId="5488C547" w14:textId="77777777" w:rsidR="005335D0" w:rsidRDefault="005335D0" w:rsidP="00267B9F"/>
    <w:tbl>
      <w:tblPr>
        <w:tblStyle w:val="Tabellenraster"/>
        <w:tblW w:w="0" w:type="auto"/>
        <w:tblBorders>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1123"/>
        <w:gridCol w:w="8157"/>
      </w:tblGrid>
      <w:tr w:rsidR="005335D0" w:rsidRPr="00653CF1" w14:paraId="28CE4693" w14:textId="77777777" w:rsidTr="00346970">
        <w:tc>
          <w:tcPr>
            <w:tcW w:w="988" w:type="dxa"/>
            <w:shd w:val="clear" w:color="auto" w:fill="F2F2F2" w:themeFill="background1" w:themeFillShade="F2"/>
          </w:tcPr>
          <w:p w14:paraId="1E05136E" w14:textId="77777777" w:rsidR="005335D0" w:rsidRDefault="005335D0" w:rsidP="007F5261">
            <w:r>
              <w:rPr>
                <w:noProof/>
                <w:lang w:val="de-AT" w:eastAsia="de-AT"/>
              </w:rPr>
              <w:drawing>
                <wp:inline distT="0" distB="0" distL="0" distR="0" wp14:anchorId="023C49A8" wp14:editId="5DE2662E">
                  <wp:extent cx="576000" cy="576000"/>
                  <wp:effectExtent l="0" t="0" r="0" b="0"/>
                  <wp:docPr id="17" name="Grafik 17" descr="C:\Users\u0500011\AppData\Local\Microsoft\Windows\INetCache\Content.Word\Informa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500011\AppData\Local\Microsoft\Windows\INetCache\Content.Word\Informations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43C7263F" w14:textId="77777777" w:rsidR="005335D0" w:rsidRPr="008B7133" w:rsidRDefault="005335D0" w:rsidP="007F5261"/>
        </w:tc>
        <w:tc>
          <w:tcPr>
            <w:tcW w:w="8157" w:type="dxa"/>
            <w:shd w:val="clear" w:color="auto" w:fill="F2F2F2" w:themeFill="background1" w:themeFillShade="F2"/>
          </w:tcPr>
          <w:p w14:paraId="4A131D12" w14:textId="77777777" w:rsidR="009C4DEF" w:rsidRPr="009C4DEF" w:rsidRDefault="009C4DEF" w:rsidP="009C4DEF">
            <w:pPr>
              <w:rPr>
                <w:rStyle w:val="IntensiveHervorhebung"/>
                <w:b/>
              </w:rPr>
            </w:pPr>
            <w:r w:rsidRPr="009C4DEF">
              <w:rPr>
                <w:rStyle w:val="IntensiveHervorhebung"/>
                <w:b/>
              </w:rPr>
              <w:t>Hinweis:</w:t>
            </w:r>
          </w:p>
          <w:p w14:paraId="5A4F21BD" w14:textId="77777777" w:rsidR="005335D0" w:rsidRPr="00F35590" w:rsidRDefault="005335D0" w:rsidP="007F5261">
            <w:pPr>
              <w:rPr>
                <w:rStyle w:val="IntensiveHervorhebung"/>
              </w:rPr>
            </w:pPr>
            <w:r w:rsidRPr="00346970">
              <w:rPr>
                <w:rStyle w:val="IntensiveHervorhebung"/>
              </w:rPr>
              <w:t>Für das Raumvolumen ist maximal eine Höhe von 2,2 m anzusetzen, um eine ungleichmäßige Verteilung im Aufstellungsraum, Einbauteile (z.B. Möbelstücke, usw.) und die Kältemitteldichte (deutlich schwerer als Luft) zu berücksichtigen.</w:t>
            </w:r>
          </w:p>
        </w:tc>
      </w:tr>
    </w:tbl>
    <w:p w14:paraId="0C7632FF" w14:textId="77777777" w:rsidR="00267B9F" w:rsidRPr="00267B9F" w:rsidRDefault="00267B9F" w:rsidP="00267B9F"/>
    <w:p w14:paraId="2D8F1FF4" w14:textId="77777777" w:rsidR="00267B9F" w:rsidRDefault="00267B9F" w:rsidP="00267B9F">
      <w:pPr>
        <w:pStyle w:val="berschrift2"/>
      </w:pPr>
      <w:r>
        <w:t>Besonderer Maschinenraum</w:t>
      </w:r>
    </w:p>
    <w:tbl>
      <w:tblPr>
        <w:tblStyle w:val="Tabellenraster"/>
        <w:tblW w:w="0" w:type="auto"/>
        <w:tblBorders>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1123"/>
        <w:gridCol w:w="8157"/>
      </w:tblGrid>
      <w:tr w:rsidR="00811CC2" w:rsidRPr="00653CF1" w14:paraId="44A051AD" w14:textId="77777777" w:rsidTr="00346970">
        <w:tc>
          <w:tcPr>
            <w:tcW w:w="988" w:type="dxa"/>
            <w:shd w:val="clear" w:color="auto" w:fill="F2F2F2" w:themeFill="background1" w:themeFillShade="F2"/>
          </w:tcPr>
          <w:p w14:paraId="66C999C5" w14:textId="77777777" w:rsidR="00811CC2" w:rsidRPr="008B7133" w:rsidRDefault="00811CC2" w:rsidP="007F5261">
            <w:r>
              <w:rPr>
                <w:noProof/>
                <w:lang w:val="de-AT" w:eastAsia="de-AT"/>
              </w:rPr>
              <w:drawing>
                <wp:inline distT="0" distB="0" distL="0" distR="0" wp14:anchorId="5176DCBC" wp14:editId="57FF09F6">
                  <wp:extent cx="576000" cy="576000"/>
                  <wp:effectExtent l="0" t="0" r="0" b="0"/>
                  <wp:docPr id="20" name="Grafik 20" descr="C:\Users\u0500011\AppData\Local\Microsoft\Windows\INetCache\Content.Word\Informa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500011\AppData\Local\Microsoft\Windows\INetCache\Content.Word\Informations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8157" w:type="dxa"/>
            <w:shd w:val="clear" w:color="auto" w:fill="F2F2F2" w:themeFill="background1" w:themeFillShade="F2"/>
          </w:tcPr>
          <w:p w14:paraId="5F1D1B5E" w14:textId="77777777" w:rsidR="009C4DEF" w:rsidRPr="009C4DEF" w:rsidRDefault="009C4DEF" w:rsidP="009C4DEF">
            <w:pPr>
              <w:rPr>
                <w:rStyle w:val="IntensiveHervorhebung"/>
                <w:b/>
              </w:rPr>
            </w:pPr>
            <w:r w:rsidRPr="009C4DEF">
              <w:rPr>
                <w:rStyle w:val="IntensiveHervorhebung"/>
                <w:b/>
              </w:rPr>
              <w:t>Hinweis:</w:t>
            </w:r>
          </w:p>
          <w:p w14:paraId="7AAFC833" w14:textId="77777777" w:rsidR="00811CC2" w:rsidRPr="00346970" w:rsidRDefault="00811CC2" w:rsidP="007F5261">
            <w:pPr>
              <w:rPr>
                <w:rStyle w:val="IntensiveHervorhebung"/>
              </w:rPr>
            </w:pPr>
            <w:r w:rsidRPr="00346970">
              <w:rPr>
                <w:rStyle w:val="IntensiveHervorhebung"/>
              </w:rPr>
              <w:t>Kältemaschinen von Ammoniak-Wärmepumpen mit einer Füllmenge von mehr als 10 kg sind gemäß § 11 Abs. 5 KAV generell in einem besonderen Maschinenraum aufzustellen.</w:t>
            </w:r>
          </w:p>
        </w:tc>
      </w:tr>
    </w:tbl>
    <w:p w14:paraId="556A2B25" w14:textId="77777777" w:rsidR="00811CC2" w:rsidRDefault="00811CC2" w:rsidP="00811CC2"/>
    <w:p w14:paraId="6506075A" w14:textId="77777777" w:rsidR="000A7FCC" w:rsidRDefault="000A7FCC" w:rsidP="00267B9F">
      <w:pPr>
        <w:rPr>
          <w:rFonts w:cs="Arial"/>
          <w:szCs w:val="20"/>
        </w:rPr>
      </w:pPr>
    </w:p>
    <w:p w14:paraId="3354EA87" w14:textId="77777777" w:rsidR="00267B9F" w:rsidRDefault="00267B9F" w:rsidP="00267B9F">
      <w:pPr>
        <w:rPr>
          <w:rFonts w:cs="Arial"/>
          <w:szCs w:val="20"/>
        </w:rPr>
      </w:pPr>
      <w:r w:rsidRPr="005050D2">
        <w:rPr>
          <w:rFonts w:cs="Arial"/>
          <w:szCs w:val="20"/>
        </w:rPr>
        <w:lastRenderedPageBreak/>
        <w:t>Der besondere Maschinenraum wird nachfolgend zur Vereinfachung als „Maschinenraum“ bezeichnet.</w:t>
      </w:r>
    </w:p>
    <w:p w14:paraId="5BB606EC" w14:textId="77777777" w:rsidR="00267B9F" w:rsidRDefault="00267B9F" w:rsidP="00267B9F">
      <w:pPr>
        <w:rPr>
          <w:rFonts w:cs="Arial"/>
          <w:szCs w:val="20"/>
        </w:rPr>
      </w:pPr>
      <w:r w:rsidRPr="005050D2">
        <w:rPr>
          <w:rFonts w:cs="Arial"/>
          <w:szCs w:val="20"/>
        </w:rPr>
        <w:t xml:space="preserve">Die Gesamtkältemittelfüllmenge aller im Maschinenraum untergebrachten </w:t>
      </w:r>
      <w:r>
        <w:rPr>
          <w:rFonts w:cs="Arial"/>
          <w:szCs w:val="20"/>
        </w:rPr>
        <w:t>Wärmepumpe</w:t>
      </w:r>
      <w:r w:rsidR="00C16706">
        <w:rPr>
          <w:rFonts w:cs="Arial"/>
          <w:szCs w:val="20"/>
        </w:rPr>
        <w:t xml:space="preserve">n beträgt </w:t>
      </w:r>
      <w:r w:rsidR="00C16706">
        <w:rPr>
          <w:highlight w:val="lightGray"/>
        </w:rPr>
        <w:fldChar w:fldCharType="begin"/>
      </w:r>
      <w:r w:rsidR="00C16706">
        <w:rPr>
          <w:highlight w:val="lightGray"/>
        </w:rPr>
        <w:instrText xml:space="preserve"> ADVANCE  \r 50 </w:instrText>
      </w:r>
      <w:r w:rsidR="00C16706">
        <w:rPr>
          <w:highlight w:val="lightGray"/>
        </w:rPr>
        <w:fldChar w:fldCharType="end"/>
      </w:r>
      <w:r w:rsidRPr="005050D2">
        <w:rPr>
          <w:rFonts w:cs="Arial"/>
          <w:szCs w:val="20"/>
        </w:rPr>
        <w:t> kg.</w:t>
      </w:r>
    </w:p>
    <w:p w14:paraId="71346951" w14:textId="77777777" w:rsidR="00C16706" w:rsidRPr="00DA0FF2" w:rsidRDefault="00C16706" w:rsidP="00C16706">
      <w:pPr>
        <w:rPr>
          <w:rFonts w:cs="Arial"/>
          <w:szCs w:val="20"/>
        </w:rPr>
      </w:pPr>
      <w:r w:rsidRPr="00DA0FF2">
        <w:rPr>
          <w:rFonts w:cs="Arial"/>
          <w:szCs w:val="20"/>
        </w:rPr>
        <w:t>Alle kältemittelführenden Teile werden innerhalb des Maschinenraums angeordnet.</w:t>
      </w:r>
    </w:p>
    <w:p w14:paraId="02B9439D" w14:textId="77777777" w:rsidR="00C16706" w:rsidRDefault="00C16706" w:rsidP="00C16706">
      <w:pPr>
        <w:pStyle w:val="berschrift3"/>
      </w:pPr>
      <w:r>
        <w:t>Bautechnische Ausführung</w:t>
      </w:r>
    </w:p>
    <w:p w14:paraId="186382D4" w14:textId="77777777" w:rsidR="00C16706" w:rsidRDefault="00C16706" w:rsidP="00C16706">
      <w:pPr>
        <w:suppressAutoHyphens/>
        <w:rPr>
          <w:rFonts w:cs="Arial"/>
          <w:color w:val="00B050"/>
          <w:szCs w:val="20"/>
        </w:rPr>
      </w:pPr>
      <w:r w:rsidRPr="00DA0FF2">
        <w:rPr>
          <w:rFonts w:cs="Arial"/>
          <w:szCs w:val="20"/>
        </w:rPr>
        <w:t>Die Umfassungsbauteile des Maschinenraums werden in der Feuerwiderstandsklasse EI90 bzw. REI90 ausgeführt. Die Zugangstüre wird in der Feuerwiderstandsklasse EI</w:t>
      </w:r>
      <w:r w:rsidRPr="00DA0FF2">
        <w:rPr>
          <w:rFonts w:cs="Arial"/>
          <w:szCs w:val="20"/>
          <w:vertAlign w:val="subscript"/>
        </w:rPr>
        <w:t>2</w:t>
      </w:r>
      <w:r w:rsidRPr="00DA0FF2">
        <w:rPr>
          <w:rFonts w:cs="Arial"/>
          <w:szCs w:val="20"/>
        </w:rPr>
        <w:t>90-C-S</w:t>
      </w:r>
      <w:r w:rsidRPr="00DA0FF2">
        <w:rPr>
          <w:rFonts w:cs="Arial"/>
          <w:szCs w:val="20"/>
          <w:vertAlign w:val="subscript"/>
        </w:rPr>
        <w:t>200</w:t>
      </w:r>
      <w:r w:rsidRPr="00DA0FF2">
        <w:rPr>
          <w:rFonts w:cs="Arial"/>
          <w:szCs w:val="20"/>
        </w:rPr>
        <w:t xml:space="preserve"> ausgeführt und nach außen aufschlagend eingerichtet. </w:t>
      </w:r>
      <w:r w:rsidR="000A598D" w:rsidRPr="00DA0FF2">
        <w:rPr>
          <w:rFonts w:cs="Arial"/>
          <w:szCs w:val="20"/>
        </w:rPr>
        <w:t>Die Zugangstür</w:t>
      </w:r>
      <w:bookmarkStart w:id="0" w:name="_GoBack"/>
      <w:bookmarkEnd w:id="0"/>
      <w:r w:rsidR="000A598D" w:rsidRPr="00DA0FF2">
        <w:rPr>
          <w:rFonts w:cs="Arial"/>
          <w:szCs w:val="20"/>
        </w:rPr>
        <w:t xml:space="preserve">e führt </w:t>
      </w:r>
      <w:r w:rsidR="000A598D" w:rsidRPr="00CF5C93">
        <w:rPr>
          <w:rFonts w:cs="Arial"/>
          <w:szCs w:val="20"/>
        </w:rPr>
        <w:t>entweder direkt oder über einen speziell dafür</w:t>
      </w:r>
      <w:r w:rsidR="000A598D">
        <w:rPr>
          <w:rFonts w:cs="Arial"/>
          <w:szCs w:val="20"/>
        </w:rPr>
        <w:t xml:space="preserve"> </w:t>
      </w:r>
      <w:r w:rsidR="000A598D" w:rsidRPr="00CF5C93">
        <w:rPr>
          <w:rFonts w:cs="Arial"/>
          <w:szCs w:val="20"/>
        </w:rPr>
        <w:t xml:space="preserve">vorgesehenen Vorraum mit selbstschließenden </w:t>
      </w:r>
      <w:r w:rsidR="00AB5C47">
        <w:rPr>
          <w:rFonts w:cs="Arial"/>
          <w:szCs w:val="20"/>
        </w:rPr>
        <w:t xml:space="preserve">dichten </w:t>
      </w:r>
      <w:r w:rsidR="000A598D" w:rsidRPr="00CF5C93">
        <w:rPr>
          <w:rFonts w:cs="Arial"/>
          <w:szCs w:val="20"/>
        </w:rPr>
        <w:t>Türen zu ei</w:t>
      </w:r>
      <w:r w:rsidR="000A598D">
        <w:rPr>
          <w:rFonts w:cs="Arial"/>
          <w:szCs w:val="20"/>
        </w:rPr>
        <w:t xml:space="preserve">nem gesicherten Fluchtweg ins Freie. </w:t>
      </w:r>
    </w:p>
    <w:tbl>
      <w:tblPr>
        <w:tblStyle w:val="Tabellenraster"/>
        <w:tblW w:w="0" w:type="auto"/>
        <w:tblBorders>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1123"/>
        <w:gridCol w:w="8157"/>
      </w:tblGrid>
      <w:tr w:rsidR="00811CC2" w:rsidRPr="00653CF1" w14:paraId="40A8D3DF" w14:textId="77777777" w:rsidTr="00346970">
        <w:tc>
          <w:tcPr>
            <w:tcW w:w="988" w:type="dxa"/>
            <w:shd w:val="clear" w:color="auto" w:fill="F2F2F2" w:themeFill="background1" w:themeFillShade="F2"/>
          </w:tcPr>
          <w:p w14:paraId="3C9EB99D" w14:textId="77777777" w:rsidR="00811CC2" w:rsidRPr="008B7133" w:rsidRDefault="00811CC2" w:rsidP="007F5261">
            <w:r>
              <w:rPr>
                <w:noProof/>
                <w:lang w:val="de-AT" w:eastAsia="de-AT"/>
              </w:rPr>
              <w:drawing>
                <wp:inline distT="0" distB="0" distL="0" distR="0" wp14:anchorId="6E2E1142" wp14:editId="78590A95">
                  <wp:extent cx="576000" cy="576000"/>
                  <wp:effectExtent l="0" t="0" r="0" b="0"/>
                  <wp:docPr id="21" name="Grafik 21" descr="C:\Users\u0500011\AppData\Local\Microsoft\Windows\INetCache\Content.Word\Informa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500011\AppData\Local\Microsoft\Windows\INetCache\Content.Word\Informations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8157" w:type="dxa"/>
            <w:shd w:val="clear" w:color="auto" w:fill="F2F2F2" w:themeFill="background1" w:themeFillShade="F2"/>
          </w:tcPr>
          <w:p w14:paraId="3043882A" w14:textId="77777777" w:rsidR="009C4DEF" w:rsidRPr="009C4DEF" w:rsidRDefault="009C4DEF" w:rsidP="009C4DEF">
            <w:pPr>
              <w:rPr>
                <w:rStyle w:val="IntensiveHervorhebung"/>
                <w:b/>
              </w:rPr>
            </w:pPr>
            <w:r w:rsidRPr="009C4DEF">
              <w:rPr>
                <w:rStyle w:val="IntensiveHervorhebung"/>
                <w:b/>
              </w:rPr>
              <w:t>Hinweis:</w:t>
            </w:r>
          </w:p>
          <w:p w14:paraId="29CB7BB7" w14:textId="77777777" w:rsidR="00811CC2" w:rsidRPr="00346970" w:rsidRDefault="00811CC2" w:rsidP="007F5261">
            <w:pPr>
              <w:rPr>
                <w:rStyle w:val="IntensiveHervorhebung"/>
              </w:rPr>
            </w:pPr>
            <w:r w:rsidRPr="00346970">
              <w:rPr>
                <w:rStyle w:val="IntensiveHervorhebung"/>
              </w:rPr>
              <w:t>Gemäß EN 378-3 wird für die Zugangstüre eine Feuerwiderstandsdauer von 60 Minuten gefordert. Am Markt sind jedoch nur Türen mit einer Feuerwiderstandsdauer von 90 Minuten verfügbar.</w:t>
            </w:r>
          </w:p>
          <w:p w14:paraId="7E55E7C1" w14:textId="77777777" w:rsidR="000A598D" w:rsidRPr="00F35590" w:rsidRDefault="000A598D" w:rsidP="000A598D">
            <w:pPr>
              <w:rPr>
                <w:rStyle w:val="IntensiveHervorhebung"/>
              </w:rPr>
            </w:pPr>
            <w:r w:rsidRPr="00346970">
              <w:rPr>
                <w:rStyle w:val="IntensiveHervorhebung"/>
              </w:rPr>
              <w:t>Gemäß der KAV müssen Türen des Maschinenraums ins Freie oder auf einen Fluchtweg führen, der einen ungehinderten Rückzug gestattet.</w:t>
            </w:r>
          </w:p>
        </w:tc>
      </w:tr>
    </w:tbl>
    <w:p w14:paraId="27D4D620" w14:textId="77777777" w:rsidR="000A7FCC" w:rsidRDefault="000A7FCC" w:rsidP="00C16706">
      <w:pPr>
        <w:rPr>
          <w:rFonts w:cs="Arial"/>
          <w:b/>
          <w:color w:val="00B050"/>
          <w:szCs w:val="20"/>
        </w:rPr>
      </w:pPr>
    </w:p>
    <w:p w14:paraId="2B274160" w14:textId="77777777" w:rsidR="00C16706" w:rsidRDefault="00C16706" w:rsidP="00C16706">
      <w:pPr>
        <w:rPr>
          <w:rFonts w:cs="Arial"/>
          <w:b/>
          <w:color w:val="00B050"/>
          <w:szCs w:val="20"/>
        </w:rPr>
      </w:pPr>
      <w:r w:rsidRPr="00C16706">
        <w:rPr>
          <w:rFonts w:cs="Arial"/>
          <w:b/>
          <w:color w:val="00B050"/>
          <w:szCs w:val="20"/>
        </w:rPr>
        <w:t>Fluchtsituation detailliert beschreiben!</w:t>
      </w:r>
    </w:p>
    <w:p w14:paraId="1C03B8C0" w14:textId="77777777" w:rsidR="00C16706" w:rsidRPr="00C77031" w:rsidRDefault="00C16706" w:rsidP="00C16706">
      <w:pPr>
        <w:suppressAutoHyphens/>
        <w:rPr>
          <w:rFonts w:cs="Arial"/>
          <w:szCs w:val="20"/>
        </w:rPr>
      </w:pPr>
      <w:r w:rsidRPr="00C77031">
        <w:rPr>
          <w:rFonts w:cs="Arial"/>
          <w:szCs w:val="20"/>
        </w:rPr>
        <w:t>Im Maschinenraum wird eine Beleuchtung vorgesehen.</w:t>
      </w:r>
    </w:p>
    <w:p w14:paraId="55D34C0E" w14:textId="77777777" w:rsidR="00C16706" w:rsidRPr="00C77031" w:rsidRDefault="00C16706" w:rsidP="00C16706">
      <w:pPr>
        <w:rPr>
          <w:rFonts w:cs="Arial"/>
          <w:szCs w:val="20"/>
        </w:rPr>
      </w:pPr>
      <w:r w:rsidRPr="00C77031">
        <w:rPr>
          <w:rFonts w:cs="Arial"/>
          <w:szCs w:val="20"/>
        </w:rPr>
        <w:t xml:space="preserve">Zum Abschalten der </w:t>
      </w:r>
      <w:r>
        <w:rPr>
          <w:rFonts w:cs="Arial"/>
          <w:szCs w:val="20"/>
        </w:rPr>
        <w:t>Wärmepumpe</w:t>
      </w:r>
      <w:r w:rsidRPr="00C77031">
        <w:rPr>
          <w:rFonts w:cs="Arial"/>
          <w:szCs w:val="20"/>
        </w:rPr>
        <w:t xml:space="preserve"> ist außerhalb des Maschinenraums in der Nähe der Zugangstüre eine Fernabschaltung vorgesehen. Die Zugänglichkeit des Schalters ist auch bei geöffneter Türe gegeben.</w:t>
      </w:r>
    </w:p>
    <w:p w14:paraId="261998AB" w14:textId="77777777" w:rsidR="00C16706" w:rsidRPr="00C77031" w:rsidRDefault="00C16706" w:rsidP="00C16706">
      <w:pPr>
        <w:rPr>
          <w:rFonts w:cs="Arial"/>
          <w:szCs w:val="20"/>
        </w:rPr>
      </w:pPr>
      <w:r w:rsidRPr="00C77031">
        <w:rPr>
          <w:rFonts w:cs="Arial"/>
          <w:szCs w:val="20"/>
        </w:rPr>
        <w:t xml:space="preserve">Mit Ausnahme des benötigten </w:t>
      </w:r>
      <w:proofErr w:type="spellStart"/>
      <w:r w:rsidRPr="00C77031">
        <w:rPr>
          <w:rFonts w:cs="Arial"/>
          <w:szCs w:val="20"/>
        </w:rPr>
        <w:t>Verdichteröls</w:t>
      </w:r>
      <w:proofErr w:type="spellEnd"/>
      <w:r w:rsidRPr="00C77031">
        <w:rPr>
          <w:rFonts w:cs="Arial"/>
          <w:szCs w:val="20"/>
        </w:rPr>
        <w:t xml:space="preserve"> für einen kompletten Ölwechsel werden keine weiteren Lagerungen im Maschinenraum erfolgen.</w:t>
      </w:r>
    </w:p>
    <w:p w14:paraId="3F029AF5" w14:textId="77777777" w:rsidR="00C16706" w:rsidRDefault="00C16706" w:rsidP="00C16706">
      <w:pPr>
        <w:rPr>
          <w:rFonts w:cs="Arial"/>
          <w:szCs w:val="20"/>
        </w:rPr>
      </w:pPr>
      <w:r w:rsidRPr="00C77031">
        <w:rPr>
          <w:rFonts w:cs="Arial"/>
          <w:szCs w:val="20"/>
        </w:rPr>
        <w:t>Der Maschinenraum wird an der Zugangstüre wie folgt gekennzeichnet:</w:t>
      </w:r>
    </w:p>
    <w:p w14:paraId="61FF83BE" w14:textId="77777777" w:rsidR="00C16706" w:rsidRDefault="00C16706" w:rsidP="00C16706">
      <w:pPr>
        <w:pStyle w:val="Listenabsatz"/>
        <w:numPr>
          <w:ilvl w:val="0"/>
          <w:numId w:val="23"/>
        </w:numPr>
        <w:spacing w:after="100" w:line="300" w:lineRule="atLeast"/>
        <w:jc w:val="both"/>
        <w:rPr>
          <w:rFonts w:cs="Arial"/>
          <w:szCs w:val="20"/>
        </w:rPr>
      </w:pPr>
      <w:r>
        <w:rPr>
          <w:rFonts w:cs="Arial"/>
          <w:szCs w:val="20"/>
        </w:rPr>
        <w:t>Maschinenraum</w:t>
      </w:r>
    </w:p>
    <w:p w14:paraId="226DE897" w14:textId="77777777" w:rsidR="00C16706" w:rsidRDefault="00C16706" w:rsidP="00C16706">
      <w:pPr>
        <w:pStyle w:val="Listenabsatz"/>
        <w:numPr>
          <w:ilvl w:val="0"/>
          <w:numId w:val="23"/>
        </w:numPr>
        <w:spacing w:after="100" w:line="300" w:lineRule="atLeast"/>
        <w:jc w:val="both"/>
        <w:rPr>
          <w:rFonts w:cs="Arial"/>
          <w:szCs w:val="20"/>
        </w:rPr>
      </w:pPr>
      <w:r>
        <w:rPr>
          <w:rFonts w:cs="Arial"/>
          <w:szCs w:val="20"/>
        </w:rPr>
        <w:t>Zutritt für unbefugte verboten</w:t>
      </w:r>
    </w:p>
    <w:p w14:paraId="6D80B727" w14:textId="77777777" w:rsidR="00C16706" w:rsidRDefault="00C16706" w:rsidP="00C16706">
      <w:pPr>
        <w:pStyle w:val="Listenabsatz"/>
        <w:numPr>
          <w:ilvl w:val="0"/>
          <w:numId w:val="23"/>
        </w:numPr>
        <w:spacing w:after="100" w:line="300" w:lineRule="atLeast"/>
        <w:jc w:val="both"/>
        <w:rPr>
          <w:rFonts w:cs="Arial"/>
          <w:szCs w:val="20"/>
        </w:rPr>
      </w:pPr>
      <w:r>
        <w:rPr>
          <w:rFonts w:cs="Arial"/>
          <w:szCs w:val="20"/>
        </w:rPr>
        <w:t>Feuer, offenes Licht und Rauchen verboten</w:t>
      </w:r>
    </w:p>
    <w:p w14:paraId="7DFF4C40" w14:textId="77777777" w:rsidR="00C16706" w:rsidRDefault="00C16706" w:rsidP="00C16706">
      <w:pPr>
        <w:pStyle w:val="Listenabsatz"/>
        <w:numPr>
          <w:ilvl w:val="0"/>
          <w:numId w:val="23"/>
        </w:numPr>
        <w:spacing w:after="100" w:line="300" w:lineRule="atLeast"/>
        <w:jc w:val="both"/>
        <w:rPr>
          <w:rFonts w:cs="Arial"/>
          <w:szCs w:val="20"/>
        </w:rPr>
      </w:pPr>
      <w:r w:rsidRPr="00A00F32">
        <w:rPr>
          <w:rFonts w:cs="Arial"/>
          <w:szCs w:val="20"/>
        </w:rPr>
        <w:t>Warnung vor explosionsfähiger Atmosphäre</w:t>
      </w:r>
    </w:p>
    <w:p w14:paraId="461D2178" w14:textId="77777777" w:rsidR="00C16706" w:rsidRPr="00A00F32" w:rsidRDefault="00C16706" w:rsidP="00C16706">
      <w:pPr>
        <w:pStyle w:val="Listenabsatz"/>
        <w:numPr>
          <w:ilvl w:val="0"/>
          <w:numId w:val="0"/>
        </w:numPr>
        <w:spacing w:after="100" w:line="300" w:lineRule="atLeast"/>
        <w:ind w:left="720"/>
        <w:jc w:val="both"/>
        <w:rPr>
          <w:rFonts w:cs="Arial"/>
          <w:szCs w:val="20"/>
        </w:rPr>
      </w:pPr>
    </w:p>
    <w:p w14:paraId="6699D9EC" w14:textId="77777777" w:rsidR="00C16706" w:rsidRDefault="00C16706" w:rsidP="00C16706">
      <w:pPr>
        <w:pStyle w:val="berschrift3"/>
      </w:pPr>
      <w:r>
        <w:t>Auffangsystem</w:t>
      </w:r>
    </w:p>
    <w:p w14:paraId="374A3110" w14:textId="77777777" w:rsidR="00C16706" w:rsidRPr="00A00F32" w:rsidRDefault="00C16706" w:rsidP="00C16706">
      <w:pPr>
        <w:rPr>
          <w:rFonts w:cs="Arial"/>
          <w:szCs w:val="20"/>
        </w:rPr>
      </w:pPr>
      <w:r w:rsidRPr="00A00F32">
        <w:rPr>
          <w:rFonts w:cs="Arial"/>
          <w:szCs w:val="20"/>
        </w:rPr>
        <w:t>Um zu verhindern, dass auslaufendes Ammoniak in Oberflächenwasser gelangt, werden alle kältemittelführenden Teile in einer Auffangwanne aufgestellt, welche gegen Ammoniak beständig ist und die gesamte Kältemittelfüllmenge fassen kann.</w:t>
      </w:r>
    </w:p>
    <w:p w14:paraId="34491618" w14:textId="77777777" w:rsidR="00C16706" w:rsidRPr="00A00F32" w:rsidRDefault="00C16706" w:rsidP="00C16706">
      <w:pPr>
        <w:rPr>
          <w:rFonts w:cs="Arial"/>
          <w:szCs w:val="20"/>
        </w:rPr>
      </w:pPr>
      <w:r w:rsidRPr="00A00F32">
        <w:rPr>
          <w:rFonts w:cs="Arial"/>
          <w:szCs w:val="20"/>
        </w:rPr>
        <w:t>Der Boden des Maschinenraums wird derart ausgeführt, dass kein flüssiges R-717 aus dem Raum auslaufen kann. Der Ablauf des Auffangsystems ist verschlossen und wird nur von fachkundigen Personen geöffnet.</w:t>
      </w:r>
    </w:p>
    <w:p w14:paraId="72E1640B" w14:textId="77777777" w:rsidR="00C16706" w:rsidRDefault="00C16706" w:rsidP="00C16706">
      <w:pPr>
        <w:pStyle w:val="berschrift3"/>
      </w:pPr>
      <w:r>
        <w:t>Lüftung für die üblichen Betriebsbedingungen</w:t>
      </w:r>
    </w:p>
    <w:p w14:paraId="4BC7E538" w14:textId="77777777" w:rsidR="00C16706" w:rsidRDefault="00C16706" w:rsidP="00C16706">
      <w:pPr>
        <w:rPr>
          <w:color w:val="00B050"/>
        </w:rPr>
      </w:pPr>
      <w:r w:rsidRPr="00C16706">
        <w:rPr>
          <w:b/>
          <w:i/>
          <w:color w:val="00B050"/>
        </w:rPr>
        <w:t>Variante 1:</w:t>
      </w:r>
      <w:r w:rsidRPr="00C16706">
        <w:rPr>
          <w:color w:val="00B050"/>
        </w:rPr>
        <w:t xml:space="preserve"> Natürliche Lüftung</w:t>
      </w:r>
    </w:p>
    <w:p w14:paraId="4EB16C7C" w14:textId="77777777" w:rsidR="00C16706" w:rsidRPr="00C16706" w:rsidRDefault="00C16706" w:rsidP="00C16706">
      <w:pPr>
        <w:rPr>
          <w:rFonts w:cs="Arial"/>
          <w:color w:val="00B050"/>
          <w:szCs w:val="20"/>
        </w:rPr>
      </w:pPr>
      <w:r w:rsidRPr="00C16706">
        <w:rPr>
          <w:rFonts w:cs="Arial"/>
          <w:color w:val="00B050"/>
          <w:szCs w:val="20"/>
        </w:rPr>
        <w:t xml:space="preserve">Der Maschinenraum wird mit einer natürlichen Querdurchlüftung ausgestattet. Die Lüftungsöffnungen führen direkt ins Freie. Die Zu- und Abluftöffnungen weisen einen Gesamtquerschnitt von </w:t>
      </w:r>
      <w:r w:rsidRPr="00C16706">
        <w:rPr>
          <w:color w:val="00B050"/>
          <w:highlight w:val="lightGray"/>
        </w:rPr>
        <w:fldChar w:fldCharType="begin"/>
      </w:r>
      <w:r w:rsidRPr="00C16706">
        <w:rPr>
          <w:color w:val="00B050"/>
          <w:highlight w:val="lightGray"/>
        </w:rPr>
        <w:instrText xml:space="preserve"> ADVANCE  \r 50 </w:instrText>
      </w:r>
      <w:r w:rsidRPr="00C16706">
        <w:rPr>
          <w:color w:val="00B050"/>
          <w:highlight w:val="lightGray"/>
        </w:rPr>
        <w:fldChar w:fldCharType="end"/>
      </w:r>
      <w:r w:rsidRPr="00C16706">
        <w:rPr>
          <w:rFonts w:cs="Arial"/>
          <w:color w:val="00B050"/>
          <w:szCs w:val="20"/>
        </w:rPr>
        <w:t xml:space="preserve"> m² auf.</w:t>
      </w:r>
    </w:p>
    <w:p w14:paraId="079BB468" w14:textId="77777777" w:rsidR="00C16706" w:rsidRPr="00C16706" w:rsidRDefault="00C16706" w:rsidP="00C16706">
      <w:pPr>
        <w:rPr>
          <w:rFonts w:cs="Arial"/>
          <w:color w:val="00B050"/>
          <w:szCs w:val="20"/>
        </w:rPr>
      </w:pPr>
      <w:r w:rsidRPr="00C16706">
        <w:rPr>
          <w:rFonts w:cs="Arial"/>
          <w:color w:val="00B050"/>
          <w:szCs w:val="20"/>
        </w:rPr>
        <w:t>Die Unterkanten der Abluftöffnung werden höchstens 0,2 m über dem Boden angeordnet.</w:t>
      </w:r>
    </w:p>
    <w:p w14:paraId="7B64A7B6" w14:textId="77777777" w:rsidR="00C16706" w:rsidRDefault="00C16706" w:rsidP="00C16706">
      <w:pPr>
        <w:rPr>
          <w:rFonts w:cs="Arial"/>
          <w:color w:val="00B050"/>
          <w:szCs w:val="20"/>
        </w:rPr>
      </w:pPr>
      <w:r w:rsidRPr="00C16706">
        <w:rPr>
          <w:rFonts w:cs="Arial"/>
          <w:color w:val="00B050"/>
          <w:szCs w:val="20"/>
        </w:rPr>
        <w:lastRenderedPageBreak/>
        <w:t>Die Frisch- und Fortluftöffnungen weisen einen allseitigen Mindestabstand von mindestens 2 m von Gebäudeöffnungen, Stiegenhäusern, weiteren Lüftungsöffnungen und Notausgängen auf.</w:t>
      </w:r>
    </w:p>
    <w:p w14:paraId="5F82D838" w14:textId="77777777" w:rsidR="00C16706" w:rsidRDefault="00C16706" w:rsidP="00C16706">
      <w:pPr>
        <w:rPr>
          <w:rFonts w:cs="Arial"/>
          <w:color w:val="00B050"/>
          <w:szCs w:val="20"/>
        </w:rPr>
      </w:pPr>
      <w:r w:rsidRPr="00C16706">
        <w:rPr>
          <w:rFonts w:cs="Arial"/>
          <w:b/>
          <w:i/>
          <w:color w:val="00B050"/>
          <w:szCs w:val="20"/>
        </w:rPr>
        <w:t>Variante 2:</w:t>
      </w:r>
      <w:r>
        <w:rPr>
          <w:rFonts w:cs="Arial"/>
          <w:color w:val="00B050"/>
          <w:szCs w:val="20"/>
        </w:rPr>
        <w:t xml:space="preserve"> Mechanische Lüftung</w:t>
      </w:r>
    </w:p>
    <w:p w14:paraId="39ADB3C9" w14:textId="77777777" w:rsidR="00C16706" w:rsidRPr="00C16706" w:rsidRDefault="00C16706" w:rsidP="00C16706">
      <w:pPr>
        <w:rPr>
          <w:rFonts w:cs="Arial"/>
          <w:color w:val="00B050"/>
          <w:szCs w:val="20"/>
        </w:rPr>
      </w:pPr>
      <w:r w:rsidRPr="00C16706">
        <w:rPr>
          <w:rFonts w:cs="Arial"/>
          <w:color w:val="00B050"/>
          <w:szCs w:val="20"/>
        </w:rPr>
        <w:t xml:space="preserve">Der Maschinenraum wird mit einer mechanischen Entlüftungsanlage ausgestattet. Da das Kältemittel im gasförmigen Zustand leichter als Luft ist, wird die Abluftöffnung in Deckennähe situiert. Die Fortluft wird ins Freie ausgeblasen. Die Zuluft strömt über eine an der gegenüberliegenden Wand angeordnete Öffnung natürlich nach. Die Zuluftöffnung weist den gleichen Querschnitt wie die Abluftöffnung auf. Der Luftförderstrom beträgt </w:t>
      </w:r>
      <w:r w:rsidRPr="00C16706">
        <w:rPr>
          <w:color w:val="00B050"/>
          <w:highlight w:val="lightGray"/>
        </w:rPr>
        <w:fldChar w:fldCharType="begin"/>
      </w:r>
      <w:r w:rsidRPr="00C16706">
        <w:rPr>
          <w:color w:val="00B050"/>
          <w:highlight w:val="lightGray"/>
        </w:rPr>
        <w:instrText xml:space="preserve"> ADVANCE  \r 50 </w:instrText>
      </w:r>
      <w:r w:rsidRPr="00C16706">
        <w:rPr>
          <w:color w:val="00B050"/>
          <w:highlight w:val="lightGray"/>
        </w:rPr>
        <w:fldChar w:fldCharType="end"/>
      </w:r>
      <w:r w:rsidRPr="00C16706">
        <w:rPr>
          <w:rFonts w:cs="Arial"/>
          <w:color w:val="00B050"/>
          <w:szCs w:val="20"/>
        </w:rPr>
        <w:t xml:space="preserve"> m³/h.</w:t>
      </w:r>
    </w:p>
    <w:p w14:paraId="57D6FEE2" w14:textId="77777777" w:rsidR="00C16706" w:rsidRPr="00C16706" w:rsidRDefault="00C16706" w:rsidP="00C16706">
      <w:pPr>
        <w:rPr>
          <w:rFonts w:cs="Arial"/>
          <w:color w:val="00B050"/>
          <w:szCs w:val="20"/>
        </w:rPr>
      </w:pPr>
      <w:r w:rsidRPr="00C16706">
        <w:rPr>
          <w:rFonts w:cs="Arial"/>
          <w:color w:val="00B050"/>
          <w:szCs w:val="20"/>
        </w:rPr>
        <w:t>Die Lüftungsanlage wird diskontinuierlich betrieben und bei Übersch</w:t>
      </w:r>
      <w:r>
        <w:rPr>
          <w:rFonts w:cs="Arial"/>
          <w:color w:val="00B050"/>
          <w:szCs w:val="20"/>
        </w:rPr>
        <w:t xml:space="preserve">reitung einer Temperatur von </w:t>
      </w:r>
      <w:r w:rsidRPr="00C16706">
        <w:rPr>
          <w:color w:val="00B050"/>
          <w:highlight w:val="lightGray"/>
        </w:rPr>
        <w:fldChar w:fldCharType="begin"/>
      </w:r>
      <w:r w:rsidRPr="00C16706">
        <w:rPr>
          <w:color w:val="00B050"/>
          <w:highlight w:val="lightGray"/>
        </w:rPr>
        <w:instrText xml:space="preserve"> ADVANCE  \r 50 </w:instrText>
      </w:r>
      <w:r w:rsidRPr="00C16706">
        <w:rPr>
          <w:color w:val="00B050"/>
          <w:highlight w:val="lightGray"/>
        </w:rPr>
        <w:fldChar w:fldCharType="end"/>
      </w:r>
      <w:r w:rsidRPr="00C16706">
        <w:rPr>
          <w:rFonts w:cs="Arial"/>
          <w:color w:val="00B050"/>
          <w:szCs w:val="20"/>
        </w:rPr>
        <w:t> °C automatisch aktiviert.</w:t>
      </w:r>
    </w:p>
    <w:p w14:paraId="6DFD0E46" w14:textId="77777777" w:rsidR="00C16706" w:rsidRPr="00C16706" w:rsidRDefault="00C16706" w:rsidP="00C16706">
      <w:pPr>
        <w:rPr>
          <w:rFonts w:cs="Arial"/>
          <w:color w:val="00B050"/>
          <w:szCs w:val="20"/>
        </w:rPr>
      </w:pPr>
      <w:r w:rsidRPr="00C16706">
        <w:rPr>
          <w:rFonts w:cs="Arial"/>
          <w:color w:val="00B050"/>
          <w:szCs w:val="20"/>
        </w:rPr>
        <w:t>Dieses Lüftungssystem ist unabhängig von anderen Lüftungssystemen.</w:t>
      </w:r>
    </w:p>
    <w:p w14:paraId="20197C08" w14:textId="77777777" w:rsidR="00C16706" w:rsidRDefault="00C16706" w:rsidP="00C16706">
      <w:pPr>
        <w:rPr>
          <w:rFonts w:cs="Arial"/>
          <w:color w:val="00B050"/>
          <w:szCs w:val="20"/>
        </w:rPr>
      </w:pPr>
      <w:r w:rsidRPr="00C16706">
        <w:rPr>
          <w:rFonts w:cs="Arial"/>
          <w:color w:val="00B050"/>
          <w:szCs w:val="20"/>
        </w:rPr>
        <w:t>Die Frisch- und Fortluftöffnungen weisen einen allseitigen Mindestabstand von mindestens 2 m von Gebäudeöffnungen, Stiegenhäusern, weiteren Lüftungsöffnungen und Notausgängen auf.</w:t>
      </w:r>
    </w:p>
    <w:p w14:paraId="0CB80844" w14:textId="77777777" w:rsidR="00C16706" w:rsidRDefault="00C16706" w:rsidP="00C16706">
      <w:pPr>
        <w:pStyle w:val="berschrift3"/>
      </w:pPr>
      <w:r>
        <w:t>Notentlüftung</w:t>
      </w:r>
    </w:p>
    <w:tbl>
      <w:tblPr>
        <w:tblStyle w:val="Tabellenraster"/>
        <w:tblW w:w="0" w:type="auto"/>
        <w:tblBorders>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1123"/>
        <w:gridCol w:w="8157"/>
      </w:tblGrid>
      <w:tr w:rsidR="00811CC2" w:rsidRPr="00653CF1" w14:paraId="5F928D7F" w14:textId="77777777" w:rsidTr="00346970">
        <w:tc>
          <w:tcPr>
            <w:tcW w:w="988" w:type="dxa"/>
            <w:shd w:val="clear" w:color="auto" w:fill="F2F2F2" w:themeFill="background1" w:themeFillShade="F2"/>
          </w:tcPr>
          <w:p w14:paraId="0B21C584" w14:textId="77777777" w:rsidR="00811CC2" w:rsidRPr="008B7133" w:rsidRDefault="00811CC2" w:rsidP="007F5261">
            <w:r>
              <w:rPr>
                <w:noProof/>
                <w:lang w:val="de-AT" w:eastAsia="de-AT"/>
              </w:rPr>
              <w:drawing>
                <wp:inline distT="0" distB="0" distL="0" distR="0" wp14:anchorId="0AF7EED8" wp14:editId="6492798E">
                  <wp:extent cx="576000" cy="576000"/>
                  <wp:effectExtent l="0" t="0" r="0" b="0"/>
                  <wp:docPr id="22" name="Grafik 22" descr="C:\Users\u0500011\AppData\Local\Microsoft\Windows\INetCache\Content.Word\Informa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500011\AppData\Local\Microsoft\Windows\INetCache\Content.Word\Informations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8157" w:type="dxa"/>
            <w:shd w:val="clear" w:color="auto" w:fill="F2F2F2" w:themeFill="background1" w:themeFillShade="F2"/>
          </w:tcPr>
          <w:p w14:paraId="29A2FDE5" w14:textId="77777777" w:rsidR="009C4DEF" w:rsidRPr="009C4DEF" w:rsidRDefault="009C4DEF" w:rsidP="009C4DEF">
            <w:pPr>
              <w:rPr>
                <w:rStyle w:val="IntensiveHervorhebung"/>
                <w:b/>
              </w:rPr>
            </w:pPr>
            <w:r w:rsidRPr="009C4DEF">
              <w:rPr>
                <w:rStyle w:val="IntensiveHervorhebung"/>
                <w:b/>
              </w:rPr>
              <w:t>Hinweis:</w:t>
            </w:r>
          </w:p>
          <w:p w14:paraId="6CF302B8" w14:textId="77777777" w:rsidR="00811CC2" w:rsidRPr="00346970" w:rsidRDefault="00811CC2" w:rsidP="00811CC2">
            <w:pPr>
              <w:rPr>
                <w:rStyle w:val="IntensiveHervorhebung"/>
              </w:rPr>
            </w:pPr>
            <w:r w:rsidRPr="00346970">
              <w:rPr>
                <w:rStyle w:val="IntensiveHervorhebung"/>
              </w:rPr>
              <w:t>Der erforderliche Abluftvolumenstrom für die Notentlüftung wird mit folgender Formel berechnet:</w:t>
            </w:r>
          </w:p>
          <w:p w14:paraId="41BC4674" w14:textId="77777777" w:rsidR="00811CC2" w:rsidRPr="00346970" w:rsidRDefault="00AB5C47" w:rsidP="00811CC2">
            <w:pPr>
              <w:rPr>
                <w:rStyle w:val="IntensiveHervorhebung"/>
              </w:rPr>
            </w:pPr>
            <m:oMathPara>
              <m:oMath>
                <m:acc>
                  <m:accPr>
                    <m:chr m:val="̇"/>
                    <m:ctrlPr>
                      <w:rPr>
                        <w:rStyle w:val="IntensiveHervorhebung"/>
                        <w:rFonts w:ascii="Cambria Math" w:hAnsi="Cambria Math"/>
                        <w:i w:val="0"/>
                        <w:iCs w:val="0"/>
                      </w:rPr>
                    </m:ctrlPr>
                  </m:accPr>
                  <m:e>
                    <m:r>
                      <w:rPr>
                        <w:rStyle w:val="IntensiveHervorhebung"/>
                        <w:rFonts w:ascii="Cambria Math" w:hAnsi="Cambria Math"/>
                      </w:rPr>
                      <m:t>V</m:t>
                    </m:r>
                  </m:e>
                </m:acc>
                <m:r>
                  <w:rPr>
                    <w:rStyle w:val="IntensiveHervorhebung"/>
                    <w:rFonts w:ascii="Cambria Math" w:hAnsi="Cambria Math"/>
                  </w:rPr>
                  <m:t xml:space="preserve">=50* </m:t>
                </m:r>
                <m:rad>
                  <m:radPr>
                    <m:ctrlPr>
                      <w:rPr>
                        <w:rStyle w:val="IntensiveHervorhebung"/>
                        <w:rFonts w:ascii="Cambria Math" w:hAnsi="Cambria Math"/>
                        <w:i w:val="0"/>
                        <w:iCs w:val="0"/>
                      </w:rPr>
                    </m:ctrlPr>
                  </m:radPr>
                  <m:deg>
                    <m:r>
                      <w:rPr>
                        <w:rStyle w:val="IntensiveHervorhebung"/>
                        <w:rFonts w:ascii="Cambria Math" w:hAnsi="Cambria Math"/>
                      </w:rPr>
                      <m:t>3</m:t>
                    </m:r>
                  </m:deg>
                  <m:e>
                    <m:sSup>
                      <m:sSupPr>
                        <m:ctrlPr>
                          <w:rPr>
                            <w:rStyle w:val="IntensiveHervorhebung"/>
                            <w:rFonts w:ascii="Cambria Math" w:hAnsi="Cambria Math"/>
                            <w:i w:val="0"/>
                            <w:iCs w:val="0"/>
                          </w:rPr>
                        </m:ctrlPr>
                      </m:sSupPr>
                      <m:e>
                        <m:r>
                          <w:rPr>
                            <w:rStyle w:val="IntensiveHervorhebung"/>
                            <w:rFonts w:ascii="Cambria Math" w:hAnsi="Cambria Math"/>
                          </w:rPr>
                          <m:t>m</m:t>
                        </m:r>
                      </m:e>
                      <m:sup>
                        <m:r>
                          <w:rPr>
                            <w:rStyle w:val="IntensiveHervorhebung"/>
                            <w:rFonts w:ascii="Cambria Math" w:hAnsi="Cambria Math"/>
                          </w:rPr>
                          <m:t>2</m:t>
                        </m:r>
                      </m:sup>
                    </m:sSup>
                  </m:e>
                </m:rad>
              </m:oMath>
            </m:oMathPara>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20"/>
              <w:gridCol w:w="6921"/>
            </w:tblGrid>
            <w:tr w:rsidR="00346970" w:rsidRPr="00346970" w14:paraId="17FAF509" w14:textId="77777777" w:rsidTr="007F5261">
              <w:tc>
                <w:tcPr>
                  <w:tcW w:w="1101" w:type="dxa"/>
                </w:tcPr>
                <w:p w14:paraId="6EE7A27C" w14:textId="77777777" w:rsidR="00811CC2" w:rsidRPr="00346970" w:rsidRDefault="00AB5C47" w:rsidP="00811CC2">
                  <w:pPr>
                    <w:rPr>
                      <w:rStyle w:val="IntensiveHervorhebung"/>
                    </w:rPr>
                  </w:pPr>
                  <m:oMathPara>
                    <m:oMathParaPr>
                      <m:jc m:val="left"/>
                    </m:oMathParaPr>
                    <m:oMath>
                      <m:acc>
                        <m:accPr>
                          <m:chr m:val="̇"/>
                          <m:ctrlPr>
                            <w:rPr>
                              <w:rStyle w:val="IntensiveHervorhebung"/>
                              <w:rFonts w:ascii="Cambria Math" w:hAnsi="Cambria Math"/>
                              <w:i w:val="0"/>
                              <w:iCs w:val="0"/>
                            </w:rPr>
                          </m:ctrlPr>
                        </m:accPr>
                        <m:e>
                          <m:r>
                            <w:rPr>
                              <w:rStyle w:val="IntensiveHervorhebung"/>
                              <w:rFonts w:ascii="Cambria Math" w:hAnsi="Cambria Math"/>
                            </w:rPr>
                            <m:t>V</m:t>
                          </m:r>
                        </m:e>
                      </m:acc>
                    </m:oMath>
                  </m:oMathPara>
                </w:p>
              </w:tc>
              <w:tc>
                <w:tcPr>
                  <w:tcW w:w="7542" w:type="dxa"/>
                </w:tcPr>
                <w:p w14:paraId="475160CA" w14:textId="77777777" w:rsidR="00811CC2" w:rsidRPr="00346970" w:rsidRDefault="00811CC2" w:rsidP="00811CC2">
                  <w:pPr>
                    <w:rPr>
                      <w:rStyle w:val="IntensiveHervorhebung"/>
                    </w:rPr>
                  </w:pPr>
                  <w:r w:rsidRPr="00346970">
                    <w:rPr>
                      <w:rStyle w:val="IntensiveHervorhebung"/>
                    </w:rPr>
                    <w:t xml:space="preserve">Volumenstrom [m³/h] </w:t>
                  </w:r>
                </w:p>
              </w:tc>
            </w:tr>
            <w:tr w:rsidR="00346970" w:rsidRPr="00346970" w14:paraId="2CE92424" w14:textId="77777777" w:rsidTr="007F5261">
              <w:tc>
                <w:tcPr>
                  <w:tcW w:w="1101" w:type="dxa"/>
                </w:tcPr>
                <w:p w14:paraId="119710F8" w14:textId="77777777" w:rsidR="00811CC2" w:rsidRPr="00346970" w:rsidRDefault="00811CC2" w:rsidP="00811CC2">
                  <w:pPr>
                    <w:rPr>
                      <w:rStyle w:val="IntensiveHervorhebung"/>
                    </w:rPr>
                  </w:pPr>
                  <w:r w:rsidRPr="00346970">
                    <w:rPr>
                      <w:rStyle w:val="IntensiveHervorhebung"/>
                    </w:rPr>
                    <w:t>m</w:t>
                  </w:r>
                </w:p>
              </w:tc>
              <w:tc>
                <w:tcPr>
                  <w:tcW w:w="7542" w:type="dxa"/>
                </w:tcPr>
                <w:p w14:paraId="6B72C47F" w14:textId="77777777" w:rsidR="00811CC2" w:rsidRPr="00346970" w:rsidRDefault="00811CC2" w:rsidP="00811CC2">
                  <w:pPr>
                    <w:rPr>
                      <w:rStyle w:val="IntensiveHervorhebung"/>
                    </w:rPr>
                  </w:pPr>
                  <w:r w:rsidRPr="00346970">
                    <w:rPr>
                      <w:rStyle w:val="IntensiveHervorhebung"/>
                    </w:rPr>
                    <w:t>Kältemittelfüllmenge des größten Kältemittelkreislaufs im Maschinenraum [kg]</w:t>
                  </w:r>
                </w:p>
              </w:tc>
            </w:tr>
          </w:tbl>
          <w:p w14:paraId="071C310E" w14:textId="77777777" w:rsidR="00811CC2" w:rsidRPr="00653CF1" w:rsidRDefault="00811CC2" w:rsidP="007F5261">
            <w:pPr>
              <w:rPr>
                <w:rStyle w:val="IntensiveHervorhebung"/>
              </w:rPr>
            </w:pPr>
          </w:p>
        </w:tc>
      </w:tr>
    </w:tbl>
    <w:p w14:paraId="144B2FCF" w14:textId="77777777" w:rsidR="002F3FAC" w:rsidRDefault="002F3FAC" w:rsidP="002F3FAC">
      <w:pPr>
        <w:rPr>
          <w:rFonts w:cs="Arial"/>
          <w:szCs w:val="20"/>
        </w:rPr>
      </w:pPr>
    </w:p>
    <w:p w14:paraId="2375D68B" w14:textId="77777777" w:rsidR="002F3FAC" w:rsidRDefault="002F3FAC" w:rsidP="002F3FAC">
      <w:pPr>
        <w:rPr>
          <w:rFonts w:cs="Arial"/>
          <w:szCs w:val="20"/>
        </w:rPr>
      </w:pPr>
      <w:r w:rsidRPr="00C77031">
        <w:rPr>
          <w:rFonts w:cs="Arial"/>
          <w:szCs w:val="20"/>
        </w:rPr>
        <w:t xml:space="preserve">Der Maschinenraum ist mit einer Notentlüftung ausgestattet. </w:t>
      </w:r>
      <w:r>
        <w:rPr>
          <w:rFonts w:cs="Arial"/>
          <w:szCs w:val="20"/>
        </w:rPr>
        <w:t xml:space="preserve">Dieses Lüftungssystem ist </w:t>
      </w:r>
      <w:r w:rsidRPr="00BB4086">
        <w:rPr>
          <w:rFonts w:cs="Arial"/>
          <w:szCs w:val="20"/>
        </w:rPr>
        <w:t>unabhängig</w:t>
      </w:r>
      <w:r>
        <w:rPr>
          <w:rFonts w:cs="Arial"/>
          <w:szCs w:val="20"/>
        </w:rPr>
        <w:t xml:space="preserve"> von anderen Lüftungssystemen.</w:t>
      </w:r>
    </w:p>
    <w:tbl>
      <w:tblPr>
        <w:tblStyle w:val="Tabellenraster"/>
        <w:tblW w:w="0" w:type="auto"/>
        <w:tblBorders>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1123"/>
        <w:gridCol w:w="8157"/>
      </w:tblGrid>
      <w:tr w:rsidR="00811CC2" w:rsidRPr="00653CF1" w14:paraId="3DB1EE42" w14:textId="77777777" w:rsidTr="002420C5">
        <w:tc>
          <w:tcPr>
            <w:tcW w:w="988" w:type="dxa"/>
            <w:shd w:val="clear" w:color="auto" w:fill="F2F2F2" w:themeFill="background1" w:themeFillShade="F2"/>
          </w:tcPr>
          <w:p w14:paraId="7AB44AC4" w14:textId="77777777" w:rsidR="00811CC2" w:rsidRPr="008B7133" w:rsidRDefault="00811CC2" w:rsidP="007F5261">
            <w:r>
              <w:rPr>
                <w:noProof/>
                <w:lang w:val="de-AT" w:eastAsia="de-AT"/>
              </w:rPr>
              <w:drawing>
                <wp:inline distT="0" distB="0" distL="0" distR="0" wp14:anchorId="624E396A" wp14:editId="6DFD88DF">
                  <wp:extent cx="576000" cy="576000"/>
                  <wp:effectExtent l="0" t="0" r="0" b="0"/>
                  <wp:docPr id="25" name="Grafik 25" descr="C:\Users\u0500011\AppData\Local\Microsoft\Windows\INetCache\Content.Word\Informa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500011\AppData\Local\Microsoft\Windows\INetCache\Content.Word\Informations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8157" w:type="dxa"/>
            <w:shd w:val="clear" w:color="auto" w:fill="F2F2F2" w:themeFill="background1" w:themeFillShade="F2"/>
          </w:tcPr>
          <w:p w14:paraId="71A52AD9" w14:textId="77777777" w:rsidR="009C4DEF" w:rsidRPr="009C4DEF" w:rsidRDefault="009C4DEF" w:rsidP="009C4DEF">
            <w:pPr>
              <w:rPr>
                <w:rStyle w:val="IntensiveHervorhebung"/>
                <w:b/>
              </w:rPr>
            </w:pPr>
            <w:r w:rsidRPr="009C4DEF">
              <w:rPr>
                <w:rStyle w:val="IntensiveHervorhebung"/>
                <w:b/>
              </w:rPr>
              <w:t>Hinweis:</w:t>
            </w:r>
          </w:p>
          <w:p w14:paraId="6869CB87" w14:textId="77777777" w:rsidR="00811CC2" w:rsidRPr="00653CF1" w:rsidRDefault="00811CC2" w:rsidP="007F5261">
            <w:pPr>
              <w:rPr>
                <w:rStyle w:val="IntensiveHervorhebung"/>
              </w:rPr>
            </w:pPr>
            <w:r w:rsidRPr="00346970">
              <w:rPr>
                <w:rStyle w:val="IntensiveHervorhebung"/>
              </w:rPr>
              <w:t>Die mechanische Lüftung für die üblichen Betriebsbedingungen kann auch als Notentlüftung verwendet werden. In diesem Fall ist die Lüftungsanlage strömungsüberwacht auszuführen. Beim Ausfall der Lüftungsanlage hat eine optische und akustische Alarmierung zu erfolgen.</w:t>
            </w:r>
          </w:p>
        </w:tc>
      </w:tr>
    </w:tbl>
    <w:p w14:paraId="6E0E2940" w14:textId="77777777" w:rsidR="002F3FAC" w:rsidRPr="002F3FAC" w:rsidRDefault="002F3FAC" w:rsidP="002F3FAC"/>
    <w:p w14:paraId="30515CD5" w14:textId="77777777" w:rsidR="002F3FAC" w:rsidRPr="00A00F32" w:rsidRDefault="002F3FAC" w:rsidP="002F3FAC">
      <w:pPr>
        <w:rPr>
          <w:rFonts w:cs="Arial"/>
          <w:szCs w:val="20"/>
        </w:rPr>
      </w:pPr>
      <w:r w:rsidRPr="00A00F32">
        <w:rPr>
          <w:rFonts w:cs="Arial"/>
          <w:szCs w:val="20"/>
        </w:rPr>
        <w:t xml:space="preserve">Da das Kältemittel im gasförmigen Zustand leichter als Luft ist, wird die Abluftöffnung in Deckennähe situiert. Die Fortluft wird ins Freie ausgeblasen. Die Zuluft strömt über eine an der gegenüberliegenden Wand angeordnete Öffnung natürlich nach. Die Zuluftöffnung weist den gleichen Querschnitt wie die Abluftöffnung auf. Der Luftförderstrom beträgt </w:t>
      </w:r>
      <w:r w:rsidRPr="00C16706">
        <w:rPr>
          <w:color w:val="00B050"/>
          <w:highlight w:val="lightGray"/>
        </w:rPr>
        <w:fldChar w:fldCharType="begin"/>
      </w:r>
      <w:r w:rsidRPr="00C16706">
        <w:rPr>
          <w:color w:val="00B050"/>
          <w:highlight w:val="lightGray"/>
        </w:rPr>
        <w:instrText xml:space="preserve"> ADVANCE  \r 50 </w:instrText>
      </w:r>
      <w:r w:rsidRPr="00C16706">
        <w:rPr>
          <w:color w:val="00B050"/>
          <w:highlight w:val="lightGray"/>
        </w:rPr>
        <w:fldChar w:fldCharType="end"/>
      </w:r>
      <w:r w:rsidRPr="00A00F32">
        <w:rPr>
          <w:rFonts w:cs="Arial"/>
          <w:szCs w:val="20"/>
        </w:rPr>
        <w:t> m³/h.</w:t>
      </w:r>
    </w:p>
    <w:p w14:paraId="3C633677" w14:textId="77777777" w:rsidR="002F3FAC" w:rsidRPr="00A00F32" w:rsidRDefault="002F3FAC" w:rsidP="002F3FAC">
      <w:pPr>
        <w:rPr>
          <w:rFonts w:cs="Arial"/>
          <w:szCs w:val="20"/>
        </w:rPr>
      </w:pPr>
      <w:r w:rsidRPr="00A00F32">
        <w:rPr>
          <w:rFonts w:cs="Arial"/>
          <w:szCs w:val="20"/>
        </w:rPr>
        <w:t>Die Fortluftleitung wird über Dach geführt, sodass sich die Fortluftmündung mindestens 1 m über der Attika des höchsten Gebäudeteils befindet.</w:t>
      </w:r>
    </w:p>
    <w:p w14:paraId="452D39F6" w14:textId="77777777" w:rsidR="002F3FAC" w:rsidRPr="00A00F32" w:rsidRDefault="002F3FAC" w:rsidP="002F3FAC">
      <w:pPr>
        <w:rPr>
          <w:rFonts w:cs="Arial"/>
          <w:szCs w:val="20"/>
        </w:rPr>
      </w:pPr>
      <w:r w:rsidRPr="00A00F32">
        <w:rPr>
          <w:rFonts w:cs="Arial"/>
          <w:szCs w:val="20"/>
        </w:rPr>
        <w:t>Die Notentlüftung kann innerhalb und außerhalb des Maschinenraums in Betrieb genommen werden und ist unabhängig von anderen Lüftungssystemen der Betriebsanlage.</w:t>
      </w:r>
    </w:p>
    <w:p w14:paraId="73157E30" w14:textId="77777777" w:rsidR="002F3FAC" w:rsidRPr="00A00F32" w:rsidRDefault="002F3FAC" w:rsidP="002F3FAC">
      <w:pPr>
        <w:rPr>
          <w:rFonts w:cs="Arial"/>
          <w:szCs w:val="20"/>
        </w:rPr>
      </w:pPr>
      <w:r w:rsidRPr="00A00F32">
        <w:rPr>
          <w:rFonts w:cs="Arial"/>
          <w:szCs w:val="20"/>
        </w:rPr>
        <w:t>Die Frisch- und Fortluftöffnungen weisen einen allseitigen Mindestabstand von mindestens 2 m von Gebäudeöffnungen, Stiegenhäusern, weiteren Lüftungsöffnungen und Notausgängen auf.</w:t>
      </w:r>
    </w:p>
    <w:p w14:paraId="1A96DFE4" w14:textId="77777777" w:rsidR="002F3FAC" w:rsidRDefault="002F3FAC" w:rsidP="002F3FAC">
      <w:pPr>
        <w:rPr>
          <w:rFonts w:cs="Arial"/>
          <w:szCs w:val="20"/>
        </w:rPr>
      </w:pPr>
      <w:r w:rsidRPr="00A00F32">
        <w:rPr>
          <w:rFonts w:cs="Arial"/>
          <w:szCs w:val="20"/>
        </w:rPr>
        <w:t xml:space="preserve">Beim Betrieb der Notentlüftung werden die </w:t>
      </w:r>
      <w:r w:rsidR="00F7023C">
        <w:rPr>
          <w:rFonts w:cs="Arial"/>
          <w:szCs w:val="20"/>
        </w:rPr>
        <w:t xml:space="preserve">nicht </w:t>
      </w:r>
      <w:r w:rsidR="00B77E0D">
        <w:rPr>
          <w:rFonts w:cs="Arial"/>
          <w:szCs w:val="20"/>
        </w:rPr>
        <w:t xml:space="preserve">zur </w:t>
      </w:r>
      <w:r w:rsidR="00B77E0D" w:rsidRPr="00A00F32">
        <w:rPr>
          <w:rFonts w:cs="Arial"/>
          <w:szCs w:val="20"/>
        </w:rPr>
        <w:t xml:space="preserve">Notentlüftung </w:t>
      </w:r>
      <w:r w:rsidR="00F7023C">
        <w:rPr>
          <w:rFonts w:cs="Arial"/>
          <w:szCs w:val="20"/>
        </w:rPr>
        <w:t xml:space="preserve">zugehörigen </w:t>
      </w:r>
      <w:r w:rsidRPr="00A00F32">
        <w:rPr>
          <w:rFonts w:cs="Arial"/>
          <w:szCs w:val="20"/>
        </w:rPr>
        <w:t>Zu- und Abluftöffnung automatisch verschlossen.</w:t>
      </w:r>
    </w:p>
    <w:p w14:paraId="2917E966" w14:textId="77777777" w:rsidR="00C16706" w:rsidRPr="007B0DB8" w:rsidRDefault="00C16706" w:rsidP="00C16706"/>
    <w:p w14:paraId="1561B10B" w14:textId="77777777" w:rsidR="002F3FAC" w:rsidRDefault="002F3FAC" w:rsidP="002F3FAC">
      <w:pPr>
        <w:pStyle w:val="berschrift3"/>
      </w:pPr>
      <w:r>
        <w:lastRenderedPageBreak/>
        <w:t>Explosionsschutz</w:t>
      </w:r>
    </w:p>
    <w:p w14:paraId="5FD1B54E" w14:textId="77777777" w:rsidR="002F3FAC" w:rsidRPr="002F3FAC" w:rsidRDefault="002F3FAC" w:rsidP="002F3FAC">
      <w:pPr>
        <w:rPr>
          <w:color w:val="00B050"/>
        </w:rPr>
      </w:pPr>
      <w:r w:rsidRPr="002F3FAC">
        <w:rPr>
          <w:color w:val="00B050"/>
        </w:rPr>
        <w:t>Innerhalb des Maschinenraums wird eine Zone 2 ausgewiesen.</w:t>
      </w:r>
    </w:p>
    <w:p w14:paraId="0B256807" w14:textId="77777777" w:rsidR="002F3FAC" w:rsidRPr="002F3FAC" w:rsidRDefault="002F3FAC" w:rsidP="002F3FAC">
      <w:pPr>
        <w:rPr>
          <w:color w:val="00B050"/>
        </w:rPr>
      </w:pPr>
      <w:r w:rsidRPr="002F3FAC">
        <w:rPr>
          <w:color w:val="00B050"/>
        </w:rPr>
        <w:t>Innerhalb der Abluftleitung der Notentlüftung wird eine Zone 2 ausgewiesen. Im Umkreis von 3 m um die Fortluftmündung der Notentlüftung wird eine Zone 2 ausgewiesen.</w:t>
      </w:r>
    </w:p>
    <w:p w14:paraId="35147D3B" w14:textId="77777777" w:rsidR="00240D14" w:rsidRPr="00240D14" w:rsidRDefault="00240D14" w:rsidP="00240D14">
      <w:pPr>
        <w:rPr>
          <w:color w:val="00B050"/>
        </w:rPr>
      </w:pPr>
      <w:r w:rsidRPr="00240D14">
        <w:rPr>
          <w:color w:val="00B050"/>
        </w:rPr>
        <w:t>Alle nicht explosionsgeschützten bzw. ATEX-konformen Betriebsmittel innerhalb des Maschinenraums werden bei Erreichen von 30.000 ppm</w:t>
      </w:r>
      <w:r w:rsidR="0087695B">
        <w:rPr>
          <w:color w:val="00B050"/>
        </w:rPr>
        <w:t xml:space="preserve"> von einer außerhalb </w:t>
      </w:r>
      <w:r w:rsidR="0087695B" w:rsidRPr="0087695B">
        <w:rPr>
          <w:color w:val="00B050"/>
        </w:rPr>
        <w:t xml:space="preserve">des Maschinenraums </w:t>
      </w:r>
      <w:r w:rsidR="0087695B">
        <w:rPr>
          <w:color w:val="00B050"/>
        </w:rPr>
        <w:t>gelegenen Stelle</w:t>
      </w:r>
      <w:r w:rsidRPr="00240D14">
        <w:rPr>
          <w:color w:val="00B050"/>
        </w:rPr>
        <w:t xml:space="preserve"> spannungsfrei geschaltet. Diese Sicherheitsfunktion (Gaswarneinrichtung inkl. Abschaltung) wird in SIL1 ausgeführt.</w:t>
      </w:r>
    </w:p>
    <w:p w14:paraId="6E150C1C" w14:textId="77777777" w:rsidR="00240D14" w:rsidRPr="00240D14" w:rsidRDefault="00240D14" w:rsidP="00240D14">
      <w:pPr>
        <w:rPr>
          <w:color w:val="00B050"/>
        </w:rPr>
      </w:pPr>
      <w:r w:rsidRPr="00240D14">
        <w:rPr>
          <w:color w:val="00B050"/>
        </w:rPr>
        <w:t xml:space="preserve">Alle Anlagenteile welche nicht spannungsfrei geschalten werden, wie z.B. die Notentlüftung oder die Gaswarnanlage für den Explosionsschutz, werden geeignet für Zone 2 (II 3G Ex IIA T1) ausgeführt. </w:t>
      </w:r>
    </w:p>
    <w:p w14:paraId="387E798B" w14:textId="77777777" w:rsidR="002F3FAC" w:rsidRPr="002F3FAC" w:rsidRDefault="002F3FAC" w:rsidP="002F3FAC">
      <w:pPr>
        <w:rPr>
          <w:color w:val="00B050"/>
          <w:lang w:val="de-AT"/>
        </w:rPr>
      </w:pPr>
      <w:r w:rsidRPr="002F3FAC">
        <w:rPr>
          <w:color w:val="00B050"/>
          <w:lang w:val="de-AT"/>
        </w:rPr>
        <w:t>Im Normalbetrieb sind keine heißen Oberflächen vorhanden, welche eine Temperatur von 500 °C überschreiten (80 % der Zündtemperatur von 630 °C).</w:t>
      </w:r>
    </w:p>
    <w:p w14:paraId="6709AE93" w14:textId="77777777" w:rsidR="002F3FAC" w:rsidRDefault="002F3FAC" w:rsidP="002F3FAC">
      <w:r w:rsidRPr="00A00F32">
        <w:t>Für die Wärmepumpe wird ein Explosionsschutzdokument erstellt.</w:t>
      </w:r>
    </w:p>
    <w:p w14:paraId="797B1883" w14:textId="77777777" w:rsidR="00215EC3" w:rsidRDefault="00215EC3" w:rsidP="00215EC3">
      <w:pPr>
        <w:pStyle w:val="berschrift3"/>
      </w:pPr>
      <w:r>
        <w:t>Wartungskanäle und Schächte</w:t>
      </w:r>
    </w:p>
    <w:p w14:paraId="02685500" w14:textId="77777777" w:rsidR="00215EC3" w:rsidRDefault="00215EC3" w:rsidP="00215EC3">
      <w:pPr>
        <w:rPr>
          <w:rFonts w:cs="Arial"/>
          <w:b/>
          <w:color w:val="00B050"/>
          <w:szCs w:val="20"/>
        </w:rPr>
      </w:pPr>
      <w:r w:rsidRPr="00215EC3">
        <w:rPr>
          <w:rFonts w:cs="Arial"/>
          <w:b/>
          <w:color w:val="00B050"/>
          <w:szCs w:val="20"/>
        </w:rPr>
        <w:t>Beschreibung einfügen, ob Wartungskanäle oder Schächte mit Kältemittel führenden Rohrleitungen oder Sicherheitsabblaseleitungen vorhanden sind. Diese Schächte sind am oberen Ende zu entlüften und in derselben Feuerwiderstandsklasse wie der Maschinenraum auszuführen.</w:t>
      </w:r>
    </w:p>
    <w:p w14:paraId="77919AC4" w14:textId="77777777" w:rsidR="00215EC3" w:rsidRDefault="00215EC3" w:rsidP="00215EC3">
      <w:pPr>
        <w:pStyle w:val="berschrift3"/>
      </w:pPr>
      <w:r>
        <w:t>Lüftungskanäle</w:t>
      </w:r>
    </w:p>
    <w:p w14:paraId="27EB5322" w14:textId="77777777" w:rsidR="00215EC3" w:rsidRPr="00A01035" w:rsidRDefault="00215EC3" w:rsidP="00215EC3">
      <w:pPr>
        <w:rPr>
          <w:rFonts w:cs="Arial"/>
          <w:b/>
          <w:szCs w:val="20"/>
        </w:rPr>
      </w:pPr>
      <w:r w:rsidRPr="00A01035">
        <w:rPr>
          <w:rFonts w:cs="Arial"/>
          <w:b/>
          <w:szCs w:val="20"/>
        </w:rPr>
        <w:t>Anforderungen an die Dichtheit</w:t>
      </w:r>
    </w:p>
    <w:p w14:paraId="09E1088F" w14:textId="77777777" w:rsidR="00215EC3" w:rsidRDefault="00215EC3" w:rsidP="00215EC3">
      <w:pPr>
        <w:rPr>
          <w:rFonts w:cs="Arial"/>
          <w:szCs w:val="20"/>
        </w:rPr>
      </w:pPr>
      <w:r w:rsidRPr="00C77031">
        <w:rPr>
          <w:rFonts w:cs="Arial"/>
          <w:szCs w:val="20"/>
        </w:rPr>
        <w:t xml:space="preserve">Die Lüftungskanäle für die Lüftung für die üblichen Betriebsbedingungen und für die </w:t>
      </w:r>
      <w:r>
        <w:rPr>
          <w:rFonts w:cs="Arial"/>
          <w:szCs w:val="20"/>
        </w:rPr>
        <w:t>Notentlüftung</w:t>
      </w:r>
      <w:r w:rsidRPr="00C77031">
        <w:rPr>
          <w:rFonts w:cs="Arial"/>
          <w:szCs w:val="20"/>
        </w:rPr>
        <w:t xml:space="preserve"> werden gemäß EN 1507 in Verbindung mit der EN 12236 ausgeführt. Vor Inbetriebnahme werden alle Nähte und Verbindungsstellen an den Kanälen abgedichtet, um jegliches Entweichen von G</w:t>
      </w:r>
      <w:r>
        <w:rPr>
          <w:rFonts w:cs="Arial"/>
          <w:szCs w:val="20"/>
        </w:rPr>
        <w:t>as aus dem Kanal zu verhindern.</w:t>
      </w:r>
    </w:p>
    <w:p w14:paraId="19121B30" w14:textId="77777777" w:rsidR="00215EC3" w:rsidRDefault="00215EC3" w:rsidP="00215EC3">
      <w:pPr>
        <w:rPr>
          <w:rFonts w:cs="Arial"/>
          <w:szCs w:val="20"/>
        </w:rPr>
      </w:pPr>
      <w:r>
        <w:rPr>
          <w:rFonts w:cs="Arial"/>
          <w:szCs w:val="20"/>
        </w:rPr>
        <w:t xml:space="preserve">Wärmepumpenfremde </w:t>
      </w:r>
      <w:r w:rsidRPr="008271F6">
        <w:rPr>
          <w:rFonts w:cs="Arial"/>
          <w:szCs w:val="20"/>
        </w:rPr>
        <w:t xml:space="preserve">Lüftungskanäle, die durch den Maschinenraum führen und einen Unterdruck aufweisen, </w:t>
      </w:r>
      <w:r>
        <w:rPr>
          <w:rFonts w:cs="Arial"/>
          <w:szCs w:val="20"/>
        </w:rPr>
        <w:t xml:space="preserve">werden </w:t>
      </w:r>
      <w:r w:rsidRPr="008271F6">
        <w:rPr>
          <w:rFonts w:cs="Arial"/>
          <w:szCs w:val="20"/>
        </w:rPr>
        <w:t>hinsichtlich D</w:t>
      </w:r>
      <w:r>
        <w:rPr>
          <w:rFonts w:cs="Arial"/>
          <w:szCs w:val="20"/>
        </w:rPr>
        <w:t xml:space="preserve">ichtheit in der Qualität ATC 3 </w:t>
      </w:r>
      <w:r w:rsidRPr="008271F6">
        <w:rPr>
          <w:rFonts w:cs="Arial"/>
          <w:szCs w:val="20"/>
        </w:rPr>
        <w:t>gemäß Ö</w:t>
      </w:r>
      <w:r>
        <w:rPr>
          <w:rFonts w:cs="Arial"/>
          <w:szCs w:val="20"/>
        </w:rPr>
        <w:t xml:space="preserve">NORM EN 16798-3 ausgeführt. Wärmepumpenfremde </w:t>
      </w:r>
      <w:r w:rsidRPr="008271F6">
        <w:rPr>
          <w:rFonts w:cs="Arial"/>
          <w:szCs w:val="20"/>
        </w:rPr>
        <w:t xml:space="preserve">Lüftungskanäle, die durch den Maschinenraum führen und einen Überdruck aufweisen, </w:t>
      </w:r>
      <w:r>
        <w:rPr>
          <w:rFonts w:cs="Arial"/>
          <w:szCs w:val="20"/>
        </w:rPr>
        <w:t>besitzen keine</w:t>
      </w:r>
      <w:r w:rsidRPr="008271F6">
        <w:rPr>
          <w:rFonts w:cs="Arial"/>
          <w:szCs w:val="20"/>
        </w:rPr>
        <w:t xml:space="preserve"> besondere Qualität hinsichtlich Dichtheit.</w:t>
      </w:r>
    </w:p>
    <w:tbl>
      <w:tblPr>
        <w:tblStyle w:val="Tabellenraster"/>
        <w:tblW w:w="0" w:type="auto"/>
        <w:tblBorders>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1123"/>
        <w:gridCol w:w="8157"/>
      </w:tblGrid>
      <w:tr w:rsidR="00811CC2" w:rsidRPr="00653CF1" w14:paraId="18E03E24" w14:textId="77777777" w:rsidTr="00346970">
        <w:tc>
          <w:tcPr>
            <w:tcW w:w="988" w:type="dxa"/>
            <w:shd w:val="clear" w:color="auto" w:fill="F2F2F2" w:themeFill="background1" w:themeFillShade="F2"/>
          </w:tcPr>
          <w:p w14:paraId="66A9AD9E" w14:textId="77777777" w:rsidR="00811CC2" w:rsidRPr="0086562F" w:rsidRDefault="00811CC2" w:rsidP="007F5261">
            <w:pPr>
              <w:rPr>
                <w:rStyle w:val="IntensiveHervorhebung"/>
              </w:rPr>
            </w:pPr>
            <w:r w:rsidRPr="0086562F">
              <w:rPr>
                <w:rStyle w:val="IntensiveHervorhebung"/>
                <w:noProof/>
                <w:lang w:val="de-AT" w:eastAsia="de-AT"/>
              </w:rPr>
              <w:drawing>
                <wp:inline distT="0" distB="0" distL="0" distR="0" wp14:anchorId="3278CC66" wp14:editId="5F46226B">
                  <wp:extent cx="576000" cy="576000"/>
                  <wp:effectExtent l="0" t="0" r="0" b="0"/>
                  <wp:docPr id="27" name="Grafik 27" descr="C:\Users\u0500011\AppData\Local\Microsoft\Windows\INetCache\Content.Word\Informa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500011\AppData\Local\Microsoft\Windows\INetCache\Content.Word\Informations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8157" w:type="dxa"/>
            <w:shd w:val="clear" w:color="auto" w:fill="F2F2F2" w:themeFill="background1" w:themeFillShade="F2"/>
          </w:tcPr>
          <w:p w14:paraId="1676748C" w14:textId="77777777" w:rsidR="009C4DEF" w:rsidRPr="0086562F" w:rsidRDefault="009C4DEF" w:rsidP="009C4DEF">
            <w:pPr>
              <w:rPr>
                <w:rStyle w:val="IntensiveHervorhebung"/>
                <w:b/>
              </w:rPr>
            </w:pPr>
            <w:r w:rsidRPr="0086562F">
              <w:rPr>
                <w:rStyle w:val="IntensiveHervorhebung"/>
                <w:b/>
              </w:rPr>
              <w:t>Hinweis:</w:t>
            </w:r>
          </w:p>
          <w:p w14:paraId="5961D2C9" w14:textId="77777777" w:rsidR="00811CC2" w:rsidRPr="0086562F" w:rsidRDefault="00811CC2" w:rsidP="007F5261">
            <w:pPr>
              <w:rPr>
                <w:rStyle w:val="IntensiveHervorhebung"/>
              </w:rPr>
            </w:pPr>
            <w:r w:rsidRPr="0086562F">
              <w:rPr>
                <w:rStyle w:val="IntensiveHervorhebung"/>
              </w:rPr>
              <w:t>Sofern die Lüftungskanäle aus dem Maschinenraum direkt ins Freie führen, müssen diese keine Anforderungen hinsichtlich der Dichtheit erfüllen.</w:t>
            </w:r>
          </w:p>
        </w:tc>
      </w:tr>
    </w:tbl>
    <w:p w14:paraId="6DBCABBD" w14:textId="77777777" w:rsidR="00811CC2" w:rsidRDefault="00811CC2" w:rsidP="00215EC3">
      <w:pPr>
        <w:rPr>
          <w:rFonts w:cs="Arial"/>
          <w:szCs w:val="20"/>
        </w:rPr>
      </w:pPr>
    </w:p>
    <w:p w14:paraId="7A15687E" w14:textId="77777777" w:rsidR="00215EC3" w:rsidRPr="00A01035" w:rsidRDefault="00215EC3" w:rsidP="00215EC3">
      <w:pPr>
        <w:rPr>
          <w:rFonts w:cs="Arial"/>
          <w:b/>
          <w:szCs w:val="20"/>
        </w:rPr>
      </w:pPr>
      <w:r w:rsidRPr="00A01035">
        <w:rPr>
          <w:rFonts w:cs="Arial"/>
          <w:b/>
          <w:szCs w:val="20"/>
        </w:rPr>
        <w:t>Brandschutztechnische Anforderungen</w:t>
      </w:r>
    </w:p>
    <w:p w14:paraId="2256AD46" w14:textId="77777777" w:rsidR="00215EC3" w:rsidRPr="00215EC3" w:rsidRDefault="00215EC3" w:rsidP="00215EC3">
      <w:pPr>
        <w:rPr>
          <w:rFonts w:cs="Arial"/>
          <w:color w:val="00B050"/>
          <w:szCs w:val="20"/>
        </w:rPr>
      </w:pPr>
      <w:r w:rsidRPr="00C77031">
        <w:rPr>
          <w:rFonts w:cs="Arial"/>
          <w:szCs w:val="20"/>
        </w:rPr>
        <w:t xml:space="preserve">Die Lüftungskanäle </w:t>
      </w:r>
      <w:r>
        <w:rPr>
          <w:rFonts w:cs="Arial"/>
          <w:szCs w:val="20"/>
        </w:rPr>
        <w:t>für</w:t>
      </w:r>
      <w:r w:rsidRPr="00C77031">
        <w:rPr>
          <w:rFonts w:cs="Arial"/>
          <w:szCs w:val="20"/>
        </w:rPr>
        <w:t xml:space="preserve"> die Lüftung für die üblichen Betriebsbedingungen </w:t>
      </w:r>
      <w:r>
        <w:rPr>
          <w:rFonts w:cs="Arial"/>
          <w:szCs w:val="20"/>
        </w:rPr>
        <w:t xml:space="preserve">werden außerhalb des Maschinenraums in der Feuerwiderstandsklasse EI 90 ausgeführt. </w:t>
      </w:r>
      <w:r w:rsidRPr="00215EC3">
        <w:rPr>
          <w:rFonts w:cs="Arial"/>
          <w:color w:val="00B050"/>
          <w:szCs w:val="20"/>
        </w:rPr>
        <w:t>Alternativ: In die Lüftungskanäle für die Lüftung für die üblichen Betriebsbedingungen werden bei der Durchbrechung von Brandabschnitten Brandschutzklappen vorgesehen.</w:t>
      </w:r>
    </w:p>
    <w:p w14:paraId="724227E0" w14:textId="77777777" w:rsidR="00215EC3" w:rsidRPr="00215EC3" w:rsidRDefault="00215EC3" w:rsidP="00215EC3">
      <w:pPr>
        <w:rPr>
          <w:rFonts w:cs="Arial"/>
          <w:color w:val="00B050"/>
          <w:szCs w:val="20"/>
        </w:rPr>
      </w:pPr>
      <w:r>
        <w:rPr>
          <w:rFonts w:cs="Arial"/>
          <w:szCs w:val="20"/>
        </w:rPr>
        <w:t xml:space="preserve">Wärmepumpenfremde </w:t>
      </w:r>
      <w:r w:rsidRPr="008271F6">
        <w:rPr>
          <w:rFonts w:cs="Arial"/>
          <w:szCs w:val="20"/>
        </w:rPr>
        <w:t>Lüftungskanäle, die</w:t>
      </w:r>
      <w:r>
        <w:rPr>
          <w:rFonts w:cs="Arial"/>
          <w:szCs w:val="20"/>
        </w:rPr>
        <w:t xml:space="preserve"> durch den Maschinenraum führen, werden innerhalb des Maschinenraums in der Feuerwiderstandsklasse EI 90 ausgeführt. </w:t>
      </w:r>
      <w:r w:rsidRPr="00215EC3">
        <w:rPr>
          <w:rFonts w:cs="Arial"/>
          <w:color w:val="00B050"/>
          <w:szCs w:val="20"/>
        </w:rPr>
        <w:t>Alternativ: In die Wärmepumpenfremden Lüftungskanäle die durch den Maschinenraum führen, werden beim Ein- und Austritt aus den Maschinenraum Brandschutzklappen vorgesehen.</w:t>
      </w:r>
    </w:p>
    <w:p w14:paraId="6F00A738" w14:textId="77777777" w:rsidR="00215EC3" w:rsidRPr="000A7FCC" w:rsidRDefault="00215EC3" w:rsidP="00215EC3">
      <w:pPr>
        <w:rPr>
          <w:rFonts w:cs="Arial"/>
          <w:szCs w:val="20"/>
        </w:rPr>
      </w:pPr>
      <w:r w:rsidRPr="008271F6">
        <w:rPr>
          <w:rFonts w:cs="Arial"/>
          <w:szCs w:val="20"/>
        </w:rPr>
        <w:t xml:space="preserve">Lüftungskanäle für die </w:t>
      </w:r>
      <w:r>
        <w:rPr>
          <w:rFonts w:cs="Arial"/>
          <w:szCs w:val="20"/>
        </w:rPr>
        <w:t>Notentlüftung</w:t>
      </w:r>
      <w:r w:rsidRPr="008271F6">
        <w:rPr>
          <w:rFonts w:cs="Arial"/>
          <w:szCs w:val="20"/>
        </w:rPr>
        <w:t xml:space="preserve"> des Maschinenraums </w:t>
      </w:r>
      <w:r>
        <w:rPr>
          <w:rFonts w:cs="Arial"/>
          <w:szCs w:val="20"/>
        </w:rPr>
        <w:t>werden</w:t>
      </w:r>
      <w:r w:rsidRPr="008271F6">
        <w:rPr>
          <w:rFonts w:cs="Arial"/>
          <w:szCs w:val="20"/>
        </w:rPr>
        <w:t xml:space="preserve"> außerhalb des Maschinenraums in der </w:t>
      </w:r>
      <w:r>
        <w:rPr>
          <w:rFonts w:cs="Arial"/>
          <w:szCs w:val="20"/>
        </w:rPr>
        <w:t>Feuerwiderstandsklasse</w:t>
      </w:r>
      <w:r w:rsidRPr="008271F6">
        <w:rPr>
          <w:rFonts w:cs="Arial"/>
          <w:szCs w:val="20"/>
        </w:rPr>
        <w:t xml:space="preserve"> EI90 ausgeführt</w:t>
      </w:r>
      <w:r>
        <w:rPr>
          <w:rFonts w:cs="Arial"/>
          <w:szCs w:val="20"/>
        </w:rPr>
        <w:t>.</w:t>
      </w:r>
    </w:p>
    <w:p w14:paraId="071C1073" w14:textId="77777777" w:rsidR="00215EC3" w:rsidRDefault="00215EC3" w:rsidP="00215EC3">
      <w:pPr>
        <w:pStyle w:val="berschrift2"/>
      </w:pPr>
      <w:r>
        <w:lastRenderedPageBreak/>
        <w:t>Sicherheitsabblaseventil und Sicherheitsabblaseleitung</w:t>
      </w:r>
    </w:p>
    <w:p w14:paraId="5AAFBE0E" w14:textId="77777777" w:rsidR="00215EC3" w:rsidRPr="00215EC3" w:rsidRDefault="00215EC3" w:rsidP="00215EC3">
      <w:pPr>
        <w:rPr>
          <w:rFonts w:cs="Arial"/>
          <w:b/>
          <w:smallCaps/>
          <w:color w:val="00B050"/>
          <w:szCs w:val="20"/>
        </w:rPr>
      </w:pPr>
      <w:r w:rsidRPr="00215EC3">
        <w:rPr>
          <w:rFonts w:cs="Arial"/>
          <w:b/>
          <w:smallCaps/>
          <w:color w:val="00B050"/>
          <w:szCs w:val="20"/>
        </w:rPr>
        <w:t>Allgemeine Beschreibung einfügen (Position)</w:t>
      </w:r>
    </w:p>
    <w:p w14:paraId="231AF45B" w14:textId="77777777" w:rsidR="00215EC3" w:rsidRPr="00A00F32" w:rsidRDefault="00215EC3" w:rsidP="00215EC3">
      <w:r w:rsidRPr="00A00F32">
        <w:t xml:space="preserve">Die Abblaseleitungen der Sicherheitsventile werden min. 1 m vertikal über die Attika des höchsten Gebäudeteiles geführt. Die </w:t>
      </w:r>
      <w:proofErr w:type="spellStart"/>
      <w:r w:rsidRPr="00A00F32">
        <w:t>Ausblasemündung</w:t>
      </w:r>
      <w:proofErr w:type="spellEnd"/>
      <w:r w:rsidRPr="00A00F32">
        <w:t xml:space="preserve"> ist vertikal angeordnet (z.B. Lambda-Ausbläser).</w:t>
      </w:r>
    </w:p>
    <w:p w14:paraId="5C1D15A8" w14:textId="77777777" w:rsidR="00215EC3" w:rsidRDefault="00215EC3" w:rsidP="00215EC3">
      <w:pPr>
        <w:rPr>
          <w:rFonts w:cs="Arial"/>
        </w:rPr>
      </w:pPr>
      <w:r w:rsidRPr="00A00F32">
        <w:rPr>
          <w:rFonts w:cs="Arial"/>
        </w:rPr>
        <w:t>Es werden Sicherheitsventile mit medienbeständiger Weichstoffdichtung, mit Drucküberwachung des abgesicherten Anlagenteils und Alarmierung an eine ständig besetzte Stelle bei 2 bar unterhalb des Ansprechdrucks</w:t>
      </w:r>
      <w:r w:rsidRPr="00A00F32">
        <w:t xml:space="preserve"> </w:t>
      </w:r>
      <w:r w:rsidRPr="00A00F32">
        <w:rPr>
          <w:rFonts w:cs="Arial"/>
        </w:rPr>
        <w:t>des Sicherheitsventils, verwendet.</w:t>
      </w:r>
    </w:p>
    <w:p w14:paraId="62D4BCA0" w14:textId="77777777" w:rsidR="00215EC3" w:rsidRDefault="00215EC3" w:rsidP="00215EC3">
      <w:pPr>
        <w:pStyle w:val="berschrift2"/>
      </w:pPr>
      <w:r>
        <w:t>Besondere Einrichtungen für das Waschen im Notfall</w:t>
      </w:r>
    </w:p>
    <w:p w14:paraId="165523DD" w14:textId="77777777" w:rsidR="00215EC3" w:rsidRPr="00A00F32" w:rsidRDefault="00215EC3" w:rsidP="00215EC3">
      <w:r w:rsidRPr="00A00F32">
        <w:t>Außerhalb des Maschinenraums wird im Nahbereich der Zugangstüre eine Augenspülung (z. B. Augendusche) vorgesehen.</w:t>
      </w:r>
    </w:p>
    <w:p w14:paraId="5B4D91AD" w14:textId="77777777" w:rsidR="00215EC3" w:rsidRDefault="00215EC3" w:rsidP="00215EC3">
      <w:pPr>
        <w:pStyle w:val="berschrift2"/>
      </w:pPr>
      <w:r>
        <w:t>Gaswarneinrichtung</w:t>
      </w:r>
    </w:p>
    <w:p w14:paraId="49DA831F" w14:textId="77777777" w:rsidR="00215EC3" w:rsidRPr="00A00F32" w:rsidRDefault="00215EC3" w:rsidP="00215EC3">
      <w:r w:rsidRPr="00A00F32">
        <w:t>Im Aufstellungsraum werden folgende Gaswarneinrichtungen angeordnet:</w:t>
      </w:r>
    </w:p>
    <w:p w14:paraId="5EE51DF7" w14:textId="77777777" w:rsidR="00215EC3" w:rsidRPr="00A00F32" w:rsidRDefault="00215EC3" w:rsidP="00215EC3">
      <w:pPr>
        <w:pStyle w:val="Listenabsatz"/>
        <w:numPr>
          <w:ilvl w:val="0"/>
          <w:numId w:val="25"/>
        </w:numPr>
        <w:spacing w:after="100" w:line="300" w:lineRule="atLeast"/>
        <w:jc w:val="both"/>
      </w:pPr>
      <w:r w:rsidRPr="00A00F32">
        <w:t>NH</w:t>
      </w:r>
      <w:r w:rsidRPr="00A00F32">
        <w:rPr>
          <w:vertAlign w:val="subscript"/>
        </w:rPr>
        <w:t>3</w:t>
      </w:r>
      <w:r w:rsidRPr="00A00F32">
        <w:t>-Gaswarneinrichtung in Bodennähe für Personenschutz (Alarmschwellen 1 – 3)</w:t>
      </w:r>
    </w:p>
    <w:p w14:paraId="16BB878A" w14:textId="77777777" w:rsidR="00215EC3" w:rsidRPr="00A00F32" w:rsidRDefault="00215EC3" w:rsidP="00215EC3">
      <w:pPr>
        <w:pStyle w:val="Listenabsatz"/>
        <w:numPr>
          <w:ilvl w:val="0"/>
          <w:numId w:val="25"/>
        </w:numPr>
        <w:spacing w:after="100" w:line="300" w:lineRule="atLeast"/>
        <w:jc w:val="both"/>
      </w:pPr>
      <w:r w:rsidRPr="00A00F32">
        <w:t>NH</w:t>
      </w:r>
      <w:r w:rsidRPr="00A00F32">
        <w:rPr>
          <w:vertAlign w:val="subscript"/>
        </w:rPr>
        <w:t>3</w:t>
      </w:r>
      <w:r w:rsidRPr="00A00F32">
        <w:t>-Gaswarneinrichtung in Deckennähe für Personenschutz (Alarmschwellen 1 – 3)</w:t>
      </w:r>
    </w:p>
    <w:p w14:paraId="334B87CF" w14:textId="77777777" w:rsidR="00215EC3" w:rsidRPr="00A00F32" w:rsidRDefault="00215EC3" w:rsidP="00215EC3">
      <w:pPr>
        <w:pStyle w:val="Listenabsatz"/>
        <w:numPr>
          <w:ilvl w:val="0"/>
          <w:numId w:val="25"/>
        </w:numPr>
        <w:spacing w:after="100" w:line="300" w:lineRule="atLeast"/>
        <w:jc w:val="both"/>
      </w:pPr>
      <w:r w:rsidRPr="00A00F32">
        <w:t>NH</w:t>
      </w:r>
      <w:r w:rsidRPr="00A00F32">
        <w:rPr>
          <w:vertAlign w:val="subscript"/>
        </w:rPr>
        <w:t>3</w:t>
      </w:r>
      <w:r w:rsidRPr="00A00F32">
        <w:t>-Gaswarneinrichtung in Bodennähe für Explosionsschutz (Alarmschwelle 4)</w:t>
      </w:r>
    </w:p>
    <w:p w14:paraId="73A5DF65" w14:textId="77777777" w:rsidR="00215EC3" w:rsidRPr="00A00F32" w:rsidRDefault="00215EC3" w:rsidP="00215EC3">
      <w:pPr>
        <w:pStyle w:val="Listenabsatz"/>
        <w:numPr>
          <w:ilvl w:val="0"/>
          <w:numId w:val="25"/>
        </w:numPr>
        <w:spacing w:after="100" w:line="300" w:lineRule="atLeast"/>
        <w:jc w:val="both"/>
      </w:pPr>
      <w:r w:rsidRPr="00A00F32">
        <w:t>NH</w:t>
      </w:r>
      <w:r w:rsidRPr="00A00F32">
        <w:rPr>
          <w:vertAlign w:val="subscript"/>
        </w:rPr>
        <w:t>3</w:t>
      </w:r>
      <w:r w:rsidRPr="00A00F32">
        <w:t>-Gaswarneinrichtung in Deckennähe für Explosionsschutz (Alarmschwelle 4)</w:t>
      </w:r>
    </w:p>
    <w:p w14:paraId="3D7825AB" w14:textId="77777777" w:rsidR="00215EC3" w:rsidRPr="00A00F32" w:rsidRDefault="00215EC3" w:rsidP="00215EC3">
      <w:pPr>
        <w:rPr>
          <w:rFonts w:cs="Arial"/>
          <w:szCs w:val="20"/>
        </w:rPr>
      </w:pPr>
      <w:r w:rsidRPr="00A00F32">
        <w:rPr>
          <w:rFonts w:cs="Arial"/>
          <w:szCs w:val="20"/>
        </w:rPr>
        <w:t>In der nachfolgenden Tabelle werden die Auslöseschwellenwerte der Gaswarneinrichtungen und die damit verbundenen Maßnahmen beschrieben: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96"/>
        <w:gridCol w:w="2410"/>
        <w:gridCol w:w="5074"/>
      </w:tblGrid>
      <w:tr w:rsidR="00215EC3" w:rsidRPr="00A00F32" w14:paraId="39E7DB8C" w14:textId="77777777" w:rsidTr="0086562F">
        <w:trPr>
          <w:trHeight w:val="23"/>
        </w:trPr>
        <w:tc>
          <w:tcPr>
            <w:tcW w:w="1696" w:type="dxa"/>
            <w:shd w:val="clear" w:color="auto" w:fill="BFBFBF" w:themeFill="background1" w:themeFillShade="BF"/>
            <w:vAlign w:val="center"/>
          </w:tcPr>
          <w:p w14:paraId="4549F440" w14:textId="77777777" w:rsidR="00215EC3" w:rsidRPr="002509D6" w:rsidRDefault="00215EC3" w:rsidP="002509D6">
            <w:pPr>
              <w:pStyle w:val="Tabelleninhalt"/>
              <w:rPr>
                <w:b/>
              </w:rPr>
            </w:pPr>
            <w:r w:rsidRPr="002509D6">
              <w:rPr>
                <w:b/>
              </w:rPr>
              <w:t>Alarmschwelle</w:t>
            </w:r>
          </w:p>
        </w:tc>
        <w:tc>
          <w:tcPr>
            <w:tcW w:w="2410" w:type="dxa"/>
            <w:shd w:val="clear" w:color="auto" w:fill="BFBFBF" w:themeFill="background1" w:themeFillShade="BF"/>
            <w:vAlign w:val="center"/>
          </w:tcPr>
          <w:p w14:paraId="412C2101" w14:textId="77777777" w:rsidR="00215EC3" w:rsidRPr="002509D6" w:rsidRDefault="00215EC3" w:rsidP="002509D6">
            <w:pPr>
              <w:pStyle w:val="Tabelleninhalt"/>
              <w:rPr>
                <w:b/>
              </w:rPr>
            </w:pPr>
            <w:r w:rsidRPr="002509D6">
              <w:rPr>
                <w:b/>
              </w:rPr>
              <w:t>Auslöseschwellenwert</w:t>
            </w:r>
          </w:p>
        </w:tc>
        <w:tc>
          <w:tcPr>
            <w:tcW w:w="5074" w:type="dxa"/>
            <w:shd w:val="clear" w:color="auto" w:fill="BFBFBF" w:themeFill="background1" w:themeFillShade="BF"/>
            <w:vAlign w:val="center"/>
          </w:tcPr>
          <w:p w14:paraId="54FAF077" w14:textId="77777777" w:rsidR="00215EC3" w:rsidRPr="002509D6" w:rsidRDefault="00215EC3" w:rsidP="002509D6">
            <w:pPr>
              <w:pStyle w:val="Tabelleninhalt"/>
              <w:rPr>
                <w:b/>
              </w:rPr>
            </w:pPr>
            <w:r w:rsidRPr="002509D6">
              <w:rPr>
                <w:b/>
              </w:rPr>
              <w:t>Maßnahmen bei Überschreitung des Schwellenwertes</w:t>
            </w:r>
          </w:p>
        </w:tc>
      </w:tr>
      <w:tr w:rsidR="00215EC3" w:rsidRPr="00A00F32" w14:paraId="264C6811" w14:textId="77777777" w:rsidTr="002509D6">
        <w:trPr>
          <w:trHeight w:val="62"/>
        </w:trPr>
        <w:tc>
          <w:tcPr>
            <w:tcW w:w="1696" w:type="dxa"/>
            <w:shd w:val="clear" w:color="auto" w:fill="FFFFFF" w:themeFill="background1"/>
            <w:vAlign w:val="center"/>
          </w:tcPr>
          <w:p w14:paraId="0EDE6D4B" w14:textId="77777777" w:rsidR="00215EC3" w:rsidRPr="00A00F32" w:rsidRDefault="00215EC3" w:rsidP="002509D6">
            <w:pPr>
              <w:pStyle w:val="Tabelleninhalt"/>
            </w:pPr>
            <w:r w:rsidRPr="00A00F32">
              <w:t>Alarm 1</w:t>
            </w:r>
          </w:p>
        </w:tc>
        <w:tc>
          <w:tcPr>
            <w:tcW w:w="2410" w:type="dxa"/>
            <w:shd w:val="clear" w:color="auto" w:fill="FFFFFF" w:themeFill="background1"/>
            <w:vAlign w:val="center"/>
          </w:tcPr>
          <w:p w14:paraId="06138B26" w14:textId="77777777" w:rsidR="00215EC3" w:rsidRPr="00A00F32" w:rsidRDefault="00215EC3" w:rsidP="002509D6">
            <w:pPr>
              <w:pStyle w:val="Tabelleninhalt"/>
            </w:pPr>
            <w:r w:rsidRPr="00A00F32">
              <w:t>20 ppm</w:t>
            </w:r>
          </w:p>
        </w:tc>
        <w:tc>
          <w:tcPr>
            <w:tcW w:w="5074" w:type="dxa"/>
            <w:shd w:val="clear" w:color="auto" w:fill="FFFFFF" w:themeFill="background1"/>
            <w:vAlign w:val="center"/>
          </w:tcPr>
          <w:p w14:paraId="36CDED6C" w14:textId="77777777" w:rsidR="00215EC3" w:rsidRPr="00A00F32" w:rsidRDefault="00215EC3" w:rsidP="00DB3589">
            <w:pPr>
              <w:pStyle w:val="Tabelleninhalt"/>
              <w:numPr>
                <w:ilvl w:val="0"/>
                <w:numId w:val="30"/>
              </w:numPr>
              <w:ind w:left="600" w:hanging="545"/>
            </w:pPr>
            <w:r w:rsidRPr="00A00F32">
              <w:t>Optische und akustische Alarmierung, welche innerhalb und außerhalb des zu schützenden Bereiches eindeutig wahrnehmbar ist.</w:t>
            </w:r>
          </w:p>
          <w:p w14:paraId="151A200E" w14:textId="77777777" w:rsidR="00215EC3" w:rsidRPr="00A00F32" w:rsidRDefault="00215EC3" w:rsidP="00DB3589">
            <w:pPr>
              <w:pStyle w:val="Tabelleninhalt"/>
              <w:numPr>
                <w:ilvl w:val="0"/>
                <w:numId w:val="30"/>
              </w:numPr>
              <w:ind w:left="600" w:hanging="545"/>
            </w:pPr>
            <w:r w:rsidRPr="00A00F32">
              <w:t>Der Raum wird verlassen und bis zur Unterschreitung des Auslöseschwellenwerts nicht mehr betreten.</w:t>
            </w:r>
          </w:p>
        </w:tc>
      </w:tr>
      <w:tr w:rsidR="00215EC3" w:rsidRPr="00A00F32" w14:paraId="540EBD93" w14:textId="77777777" w:rsidTr="002509D6">
        <w:trPr>
          <w:trHeight w:val="21"/>
        </w:trPr>
        <w:tc>
          <w:tcPr>
            <w:tcW w:w="1696" w:type="dxa"/>
            <w:shd w:val="clear" w:color="auto" w:fill="FFFFFF" w:themeFill="background1"/>
            <w:vAlign w:val="center"/>
          </w:tcPr>
          <w:p w14:paraId="5C4129BE" w14:textId="77777777" w:rsidR="00215EC3" w:rsidRPr="00A00F32" w:rsidRDefault="00215EC3" w:rsidP="002509D6">
            <w:pPr>
              <w:pStyle w:val="Tabelleninhalt"/>
            </w:pPr>
            <w:r w:rsidRPr="00A00F32">
              <w:t>Alarm 2</w:t>
            </w:r>
          </w:p>
        </w:tc>
        <w:tc>
          <w:tcPr>
            <w:tcW w:w="2410" w:type="dxa"/>
            <w:shd w:val="clear" w:color="auto" w:fill="FFFFFF" w:themeFill="background1"/>
            <w:vAlign w:val="center"/>
          </w:tcPr>
          <w:p w14:paraId="4AEB487F" w14:textId="77777777" w:rsidR="00215EC3" w:rsidRPr="00A00F32" w:rsidRDefault="00215EC3" w:rsidP="002509D6">
            <w:pPr>
              <w:pStyle w:val="Tabelleninhalt"/>
            </w:pPr>
            <w:r w:rsidRPr="00A00F32">
              <w:t xml:space="preserve">150 </w:t>
            </w:r>
            <w:r w:rsidR="00DB3589">
              <w:t xml:space="preserve">– 500 </w:t>
            </w:r>
            <w:r w:rsidRPr="00A00F32">
              <w:t>ppm</w:t>
            </w:r>
          </w:p>
        </w:tc>
        <w:tc>
          <w:tcPr>
            <w:tcW w:w="5074" w:type="dxa"/>
            <w:shd w:val="clear" w:color="auto" w:fill="FFFFFF" w:themeFill="background1"/>
            <w:vAlign w:val="center"/>
          </w:tcPr>
          <w:p w14:paraId="3F490E3F" w14:textId="77777777" w:rsidR="00215EC3" w:rsidRPr="00A00F32" w:rsidRDefault="00215EC3" w:rsidP="00DB3589">
            <w:pPr>
              <w:pStyle w:val="Tabelleninhalt"/>
              <w:numPr>
                <w:ilvl w:val="0"/>
                <w:numId w:val="30"/>
              </w:numPr>
              <w:ind w:left="600" w:hanging="545"/>
            </w:pPr>
            <w:r w:rsidRPr="00A00F32">
              <w:t>Maßnahmen der Alarmschwelle 1 bleiben aufrecht.</w:t>
            </w:r>
          </w:p>
          <w:p w14:paraId="70B4661E" w14:textId="77777777" w:rsidR="00215EC3" w:rsidRPr="00A00F32" w:rsidRDefault="00215EC3" w:rsidP="00DB3589">
            <w:pPr>
              <w:pStyle w:val="Tabelleninhalt"/>
              <w:numPr>
                <w:ilvl w:val="0"/>
                <w:numId w:val="30"/>
              </w:numPr>
              <w:ind w:left="600" w:hanging="545"/>
            </w:pPr>
            <w:r w:rsidRPr="00A00F32">
              <w:t>Lüftung für die üblichen Betriebsbedingungen wird automatisch deaktiviert und die zugehörigen Lüftungsöffnungen automatisch verschlossen.</w:t>
            </w:r>
          </w:p>
          <w:p w14:paraId="53BE87EE" w14:textId="77777777" w:rsidR="00215EC3" w:rsidRPr="00A00F32" w:rsidRDefault="00215EC3" w:rsidP="00DB3589">
            <w:pPr>
              <w:pStyle w:val="Tabelleninhalt"/>
              <w:numPr>
                <w:ilvl w:val="0"/>
                <w:numId w:val="30"/>
              </w:numPr>
              <w:ind w:left="600" w:hanging="545"/>
            </w:pPr>
            <w:r w:rsidRPr="00A00F32">
              <w:t>Notentlüftung wird aktiviert.</w:t>
            </w:r>
          </w:p>
          <w:p w14:paraId="4F719931" w14:textId="77777777" w:rsidR="00215EC3" w:rsidRPr="00A00F32" w:rsidRDefault="00215EC3" w:rsidP="00DB3589">
            <w:pPr>
              <w:pStyle w:val="Tabelleninhalt"/>
              <w:numPr>
                <w:ilvl w:val="0"/>
                <w:numId w:val="30"/>
              </w:numPr>
              <w:ind w:left="600" w:hanging="545"/>
            </w:pPr>
            <w:r w:rsidRPr="00A00F32">
              <w:t>Alarmierung einer ständig besetzten Stelle.</w:t>
            </w:r>
          </w:p>
        </w:tc>
      </w:tr>
      <w:tr w:rsidR="00215EC3" w:rsidRPr="00A00F32" w14:paraId="780CAB26" w14:textId="77777777" w:rsidTr="002509D6">
        <w:trPr>
          <w:trHeight w:val="21"/>
        </w:trPr>
        <w:tc>
          <w:tcPr>
            <w:tcW w:w="1696" w:type="dxa"/>
            <w:shd w:val="clear" w:color="auto" w:fill="FFFFFF" w:themeFill="background1"/>
            <w:vAlign w:val="center"/>
          </w:tcPr>
          <w:p w14:paraId="548B82E6" w14:textId="77777777" w:rsidR="00215EC3" w:rsidRPr="00A00F32" w:rsidRDefault="00215EC3" w:rsidP="002509D6">
            <w:pPr>
              <w:pStyle w:val="Tabelleninhalt"/>
            </w:pPr>
            <w:r w:rsidRPr="00A00F32">
              <w:t>Alarm 3</w:t>
            </w:r>
          </w:p>
        </w:tc>
        <w:tc>
          <w:tcPr>
            <w:tcW w:w="2410" w:type="dxa"/>
            <w:shd w:val="clear" w:color="auto" w:fill="FFFFFF" w:themeFill="background1"/>
            <w:vAlign w:val="center"/>
          </w:tcPr>
          <w:p w14:paraId="07298ADF" w14:textId="77777777" w:rsidR="00215EC3" w:rsidRPr="00A00F32" w:rsidRDefault="00215EC3" w:rsidP="002509D6">
            <w:pPr>
              <w:pStyle w:val="Tabelleninhalt"/>
            </w:pPr>
            <w:r w:rsidRPr="00A00F32">
              <w:t>1.000 ppm</w:t>
            </w:r>
          </w:p>
        </w:tc>
        <w:tc>
          <w:tcPr>
            <w:tcW w:w="5074" w:type="dxa"/>
            <w:shd w:val="clear" w:color="auto" w:fill="FFFFFF" w:themeFill="background1"/>
            <w:vAlign w:val="center"/>
          </w:tcPr>
          <w:p w14:paraId="5FC15444" w14:textId="77777777" w:rsidR="00215EC3" w:rsidRPr="00A00F32" w:rsidRDefault="00215EC3" w:rsidP="00DB3589">
            <w:pPr>
              <w:pStyle w:val="Tabelleninhalt"/>
              <w:numPr>
                <w:ilvl w:val="0"/>
                <w:numId w:val="30"/>
              </w:numPr>
              <w:ind w:left="600" w:hanging="545"/>
            </w:pPr>
            <w:r w:rsidRPr="00A00F32">
              <w:t>Maßnahmen der Alarmschwellen 1 – 2 bleiben aufrecht.</w:t>
            </w:r>
          </w:p>
          <w:p w14:paraId="16CAAAF1" w14:textId="77777777" w:rsidR="00215EC3" w:rsidRPr="00A00F32" w:rsidRDefault="00215EC3" w:rsidP="00DB3589">
            <w:pPr>
              <w:pStyle w:val="Tabelleninhalt"/>
              <w:numPr>
                <w:ilvl w:val="0"/>
                <w:numId w:val="30"/>
              </w:numPr>
              <w:ind w:left="600" w:hanging="545"/>
            </w:pPr>
            <w:r w:rsidRPr="00A00F32">
              <w:t>Wärmepumpe wird automatisch abgeschaltet.</w:t>
            </w:r>
          </w:p>
        </w:tc>
      </w:tr>
      <w:tr w:rsidR="00215EC3" w:rsidRPr="00A00F32" w14:paraId="633FC5AA" w14:textId="77777777" w:rsidTr="002509D6">
        <w:trPr>
          <w:trHeight w:val="21"/>
        </w:trPr>
        <w:tc>
          <w:tcPr>
            <w:tcW w:w="1696" w:type="dxa"/>
            <w:shd w:val="clear" w:color="auto" w:fill="FFFFFF" w:themeFill="background1"/>
            <w:vAlign w:val="center"/>
          </w:tcPr>
          <w:p w14:paraId="190EDB93" w14:textId="77777777" w:rsidR="00215EC3" w:rsidRPr="00A00F32" w:rsidRDefault="00215EC3" w:rsidP="002509D6">
            <w:pPr>
              <w:pStyle w:val="Tabelleninhalt"/>
            </w:pPr>
            <w:r w:rsidRPr="00A00F32">
              <w:t>Alarm 4</w:t>
            </w:r>
          </w:p>
        </w:tc>
        <w:tc>
          <w:tcPr>
            <w:tcW w:w="2410" w:type="dxa"/>
            <w:shd w:val="clear" w:color="auto" w:fill="FFFFFF" w:themeFill="background1"/>
            <w:vAlign w:val="center"/>
          </w:tcPr>
          <w:p w14:paraId="6A0A5929" w14:textId="77777777" w:rsidR="00215EC3" w:rsidRPr="00A00F32" w:rsidRDefault="00215EC3" w:rsidP="002509D6">
            <w:pPr>
              <w:pStyle w:val="Tabelleninhalt"/>
            </w:pPr>
            <w:r w:rsidRPr="00A00F32">
              <w:t>30.000 ppm</w:t>
            </w:r>
          </w:p>
        </w:tc>
        <w:tc>
          <w:tcPr>
            <w:tcW w:w="5074" w:type="dxa"/>
            <w:shd w:val="clear" w:color="auto" w:fill="FFFFFF" w:themeFill="background1"/>
            <w:vAlign w:val="center"/>
          </w:tcPr>
          <w:p w14:paraId="2A0B7408" w14:textId="77777777" w:rsidR="00215EC3" w:rsidRPr="00A00F32" w:rsidRDefault="00215EC3" w:rsidP="00DB3589">
            <w:pPr>
              <w:pStyle w:val="Tabelleninhalt"/>
              <w:numPr>
                <w:ilvl w:val="0"/>
                <w:numId w:val="30"/>
              </w:numPr>
              <w:ind w:left="600" w:hanging="545"/>
            </w:pPr>
            <w:r w:rsidRPr="00A00F32">
              <w:t>Maßnahmen der Alarmschwellen 1 - 3 bleiben aufrecht.</w:t>
            </w:r>
          </w:p>
          <w:p w14:paraId="146F0D3B" w14:textId="77777777" w:rsidR="00215EC3" w:rsidRDefault="00215EC3" w:rsidP="00DB3589">
            <w:pPr>
              <w:pStyle w:val="Tabelleninhalt"/>
              <w:numPr>
                <w:ilvl w:val="0"/>
                <w:numId w:val="30"/>
              </w:numPr>
              <w:ind w:left="600" w:hanging="545"/>
            </w:pPr>
            <w:r w:rsidRPr="00A00F32">
              <w:t>Alle nicht explosionsgeschützten bzw. ATEX-konformen Betriebsmittel innerhalb des Maschinenraums werden bei Erreichen von 30.000 ppm außerhalb des Maschinenraums spannungsfrei geschaltet.</w:t>
            </w:r>
          </w:p>
          <w:p w14:paraId="035B5E5D" w14:textId="77777777" w:rsidR="00DB3589" w:rsidRPr="00A00F32" w:rsidRDefault="00DB3589" w:rsidP="00DB3589">
            <w:pPr>
              <w:pStyle w:val="Tabelleninhalt"/>
              <w:numPr>
                <w:ilvl w:val="0"/>
                <w:numId w:val="30"/>
              </w:numPr>
              <w:ind w:left="600" w:hanging="545"/>
            </w:pPr>
            <w:r w:rsidRPr="00DB3589">
              <w:t>Notentlüftung wird deaktiviert.</w:t>
            </w:r>
          </w:p>
        </w:tc>
      </w:tr>
    </w:tbl>
    <w:p w14:paraId="208EE739" w14:textId="77777777" w:rsidR="00215EC3" w:rsidRDefault="002509D6" w:rsidP="002509D6">
      <w:pPr>
        <w:pStyle w:val="Beschriftung"/>
      </w:pPr>
      <w:r>
        <w:t xml:space="preserve">Tab. </w:t>
      </w:r>
      <w:r w:rsidR="00AB5C47">
        <w:fldChar w:fldCharType="begin"/>
      </w:r>
      <w:r w:rsidR="00AB5C47">
        <w:instrText xml:space="preserve"> SEQ Tab. \* ARABIC </w:instrText>
      </w:r>
      <w:r w:rsidR="00AB5C47">
        <w:fldChar w:fldCharType="separate"/>
      </w:r>
      <w:r w:rsidR="00296A4C">
        <w:rPr>
          <w:noProof/>
        </w:rPr>
        <w:t>3</w:t>
      </w:r>
      <w:r w:rsidR="00AB5C47">
        <w:rPr>
          <w:noProof/>
        </w:rPr>
        <w:fldChar w:fldCharType="end"/>
      </w:r>
      <w:r>
        <w:t xml:space="preserve">: </w:t>
      </w:r>
      <w:r w:rsidRPr="00A00F32">
        <w:rPr>
          <w:rFonts w:cs="Arial"/>
          <w:szCs w:val="20"/>
        </w:rPr>
        <w:t>Auslöseschwellenwerte der Gaswarneinrichtungen</w:t>
      </w:r>
    </w:p>
    <w:p w14:paraId="25492EBB" w14:textId="77777777" w:rsidR="00215EC3" w:rsidRDefault="00215EC3" w:rsidP="00215EC3"/>
    <w:tbl>
      <w:tblPr>
        <w:tblStyle w:val="Tabellenraster"/>
        <w:tblW w:w="0" w:type="auto"/>
        <w:tblBorders>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1123"/>
        <w:gridCol w:w="8157"/>
      </w:tblGrid>
      <w:tr w:rsidR="00240D14" w:rsidRPr="008B7133" w14:paraId="4DAE0BA5" w14:textId="77777777" w:rsidTr="00346970">
        <w:tc>
          <w:tcPr>
            <w:tcW w:w="988" w:type="dxa"/>
            <w:shd w:val="clear" w:color="auto" w:fill="F2F2F2" w:themeFill="background1" w:themeFillShade="F2"/>
          </w:tcPr>
          <w:p w14:paraId="0392782E" w14:textId="77777777" w:rsidR="00240D14" w:rsidRDefault="00240D14" w:rsidP="00FB6AFF">
            <w:r>
              <w:rPr>
                <w:noProof/>
                <w:lang w:val="de-AT" w:eastAsia="de-AT"/>
              </w:rPr>
              <w:drawing>
                <wp:inline distT="0" distB="0" distL="0" distR="0" wp14:anchorId="20A35A02" wp14:editId="35C0D139">
                  <wp:extent cx="576000" cy="576000"/>
                  <wp:effectExtent l="0" t="0" r="0" b="0"/>
                  <wp:docPr id="4" name="Grafik 4" descr="C:\Users\u0500011\AppData\Local\Microsoft\Windows\INetCache\Content.Word\Information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500011\AppData\Local\Microsoft\Windows\INetCache\Content.Word\Informations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251931B0" w14:textId="77777777" w:rsidR="00240D14" w:rsidRDefault="00240D14" w:rsidP="00FB6AFF"/>
          <w:p w14:paraId="5293F086" w14:textId="77777777" w:rsidR="00240D14" w:rsidRPr="008B7133" w:rsidRDefault="00240D14" w:rsidP="00FB6AFF"/>
        </w:tc>
        <w:tc>
          <w:tcPr>
            <w:tcW w:w="8157" w:type="dxa"/>
            <w:shd w:val="clear" w:color="auto" w:fill="F2F2F2" w:themeFill="background1" w:themeFillShade="F2"/>
          </w:tcPr>
          <w:p w14:paraId="107F1861" w14:textId="77777777" w:rsidR="009C4DEF" w:rsidRPr="009C4DEF" w:rsidRDefault="009C4DEF" w:rsidP="009C4DEF">
            <w:pPr>
              <w:rPr>
                <w:rStyle w:val="IntensiveHervorhebung"/>
                <w:b/>
              </w:rPr>
            </w:pPr>
            <w:r w:rsidRPr="009C4DEF">
              <w:rPr>
                <w:rStyle w:val="IntensiveHervorhebung"/>
                <w:b/>
              </w:rPr>
              <w:t>Hinweis:</w:t>
            </w:r>
          </w:p>
          <w:p w14:paraId="76D6F097" w14:textId="77777777" w:rsidR="00240D14" w:rsidRPr="00346970" w:rsidRDefault="00240D14" w:rsidP="00240D14">
            <w:pPr>
              <w:rPr>
                <w:rStyle w:val="IntensiveHervorhebung"/>
              </w:rPr>
            </w:pPr>
            <w:r w:rsidRPr="00346970">
              <w:rPr>
                <w:rStyle w:val="IntensiveHervorhebung"/>
              </w:rPr>
              <w:t>In der GKV ist für Ammoniak der MAK-Wert mit 20 ppm angegeben.</w:t>
            </w:r>
          </w:p>
          <w:p w14:paraId="2ED8C944" w14:textId="77777777" w:rsidR="00240D14" w:rsidRPr="00653CF1" w:rsidRDefault="00240D14" w:rsidP="002420C5">
            <w:pPr>
              <w:rPr>
                <w:rStyle w:val="IntensiveHervorhebung"/>
              </w:rPr>
            </w:pPr>
            <w:r w:rsidRPr="00346970">
              <w:rPr>
                <w:rStyle w:val="IntensiveHervorhebung"/>
              </w:rPr>
              <w:t>Gemäß der TRAS 110 ist die Notentlüftung ab einer Konzentration von 30.000 ppm zu deaktivieren um eine Überschreitung des ERPG-2</w:t>
            </w:r>
            <w:r w:rsidR="002420C5">
              <w:rPr>
                <w:rStyle w:val="IntensiveHervorhebung"/>
              </w:rPr>
              <w:t>-W</w:t>
            </w:r>
            <w:r w:rsidRPr="00346970">
              <w:rPr>
                <w:rStyle w:val="IntensiveHervorhebung"/>
              </w:rPr>
              <w:t>ertes immissionsseitig zu vermeiden. In Abhängigkeit von der Aufstellungssituation und ggf. von Maßnahmen kann die Notenlüftung weiter betrieben werden.</w:t>
            </w:r>
          </w:p>
        </w:tc>
      </w:tr>
    </w:tbl>
    <w:p w14:paraId="29019FE5" w14:textId="77777777" w:rsidR="00240D14" w:rsidRDefault="00240D14" w:rsidP="00215EC3"/>
    <w:p w14:paraId="3E5FDDB2" w14:textId="77777777" w:rsidR="00215EC3" w:rsidRPr="00A00F32" w:rsidRDefault="00215EC3" w:rsidP="00215EC3">
      <w:r w:rsidRPr="00A00F32">
        <w:t>Die Gaswarneinrichtungen samt optischer und akustischer Alarmierung sowie die Notentlüftung werden mit einer netzunabhängigen Stromversorgung ausgestattet.</w:t>
      </w:r>
    </w:p>
    <w:p w14:paraId="7EC8D6C5" w14:textId="77777777" w:rsidR="00215EC3" w:rsidRPr="00A00F32" w:rsidRDefault="00215EC3" w:rsidP="00215EC3">
      <w:r w:rsidRPr="00A00F32">
        <w:t>Die Gaswarneinrichtungen für den Personenschutz (Alarmschwelle 1 – 3) entsprechen der EN 45544-1.</w:t>
      </w:r>
    </w:p>
    <w:p w14:paraId="79E42CFD" w14:textId="77777777" w:rsidR="00215EC3" w:rsidRDefault="00215EC3" w:rsidP="00215EC3">
      <w:pPr>
        <w:rPr>
          <w:rStyle w:val="markedcontent"/>
        </w:rPr>
      </w:pPr>
      <w:r w:rsidRPr="00A00F32">
        <w:t xml:space="preserve">Die Gaswarneinrichtungen für den Explosionsschutz (Alarmschwelle 4) entsprechen den Anforderungen </w:t>
      </w:r>
      <w:r w:rsidRPr="00A00F32">
        <w:rPr>
          <w:rStyle w:val="markedcontent"/>
        </w:rPr>
        <w:t>gemäß Richtlinie 2014/34/EU, Anhang II, Pkt. 1.5.5 bis 1.5.7 und EN 60079-29-1.</w:t>
      </w:r>
    </w:p>
    <w:p w14:paraId="419ED5A1" w14:textId="77777777" w:rsidR="00215EC3" w:rsidRDefault="00215EC3" w:rsidP="00215EC3">
      <w:pPr>
        <w:pStyle w:val="berschrift1"/>
      </w:pPr>
      <w:r>
        <w:t>Schallemissionen</w:t>
      </w:r>
    </w:p>
    <w:p w14:paraId="057654BD" w14:textId="77777777" w:rsidR="00215EC3" w:rsidRPr="00C77031" w:rsidRDefault="00215EC3" w:rsidP="00215EC3">
      <w:pPr>
        <w:rPr>
          <w:rFonts w:cs="Arial"/>
          <w:szCs w:val="20"/>
        </w:rPr>
      </w:pPr>
      <w:r w:rsidRPr="00C77031">
        <w:rPr>
          <w:rFonts w:cs="Arial"/>
          <w:szCs w:val="20"/>
        </w:rPr>
        <w:t>Folgende Schallquellen sind vorhanden: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227"/>
        <w:gridCol w:w="5982"/>
      </w:tblGrid>
      <w:tr w:rsidR="00215EC3" w:rsidRPr="00C77031" w14:paraId="7CD71265" w14:textId="77777777" w:rsidTr="0086562F">
        <w:trPr>
          <w:trHeight w:val="102"/>
        </w:trPr>
        <w:tc>
          <w:tcPr>
            <w:tcW w:w="3227" w:type="dxa"/>
            <w:shd w:val="clear" w:color="auto" w:fill="BFBFBF" w:themeFill="background1" w:themeFillShade="BF"/>
            <w:vAlign w:val="center"/>
          </w:tcPr>
          <w:p w14:paraId="279D8292" w14:textId="77777777" w:rsidR="00215EC3" w:rsidRPr="002509D6" w:rsidRDefault="00215EC3" w:rsidP="002509D6">
            <w:pPr>
              <w:pStyle w:val="Tabelleninhalt"/>
              <w:rPr>
                <w:b/>
              </w:rPr>
            </w:pPr>
            <w:r w:rsidRPr="002509D6">
              <w:rPr>
                <w:b/>
              </w:rPr>
              <w:t>Anlagenteil</w:t>
            </w:r>
          </w:p>
        </w:tc>
        <w:tc>
          <w:tcPr>
            <w:tcW w:w="5982" w:type="dxa"/>
            <w:shd w:val="clear" w:color="auto" w:fill="BFBFBF" w:themeFill="background1" w:themeFillShade="BF"/>
            <w:vAlign w:val="center"/>
          </w:tcPr>
          <w:p w14:paraId="60A6DF72" w14:textId="77777777" w:rsidR="00215EC3" w:rsidRPr="002509D6" w:rsidRDefault="00215EC3" w:rsidP="002509D6">
            <w:pPr>
              <w:pStyle w:val="Tabelleninhalt"/>
              <w:rPr>
                <w:b/>
              </w:rPr>
            </w:pPr>
            <w:r w:rsidRPr="002509D6">
              <w:rPr>
                <w:b/>
              </w:rPr>
              <w:t>Schallleistungspegel [dB]</w:t>
            </w:r>
          </w:p>
        </w:tc>
      </w:tr>
      <w:tr w:rsidR="00215EC3" w:rsidRPr="00C77031" w14:paraId="721B05B9" w14:textId="77777777" w:rsidTr="002509D6">
        <w:trPr>
          <w:trHeight w:val="18"/>
        </w:trPr>
        <w:tc>
          <w:tcPr>
            <w:tcW w:w="3227" w:type="dxa"/>
            <w:shd w:val="clear" w:color="auto" w:fill="FFFFFF" w:themeFill="background1"/>
            <w:vAlign w:val="center"/>
          </w:tcPr>
          <w:p w14:paraId="61E9A1CD" w14:textId="77777777" w:rsidR="00215EC3" w:rsidRPr="00215EC3" w:rsidRDefault="00215EC3" w:rsidP="002509D6">
            <w:pPr>
              <w:pStyle w:val="Tabelleninhalt"/>
              <w:rPr>
                <w:color w:val="00B050"/>
              </w:rPr>
            </w:pPr>
            <w:r w:rsidRPr="00215EC3">
              <w:rPr>
                <w:color w:val="00B050"/>
              </w:rPr>
              <w:t>Wärmepumpe</w:t>
            </w:r>
          </w:p>
        </w:tc>
        <w:tc>
          <w:tcPr>
            <w:tcW w:w="5982" w:type="dxa"/>
            <w:shd w:val="clear" w:color="auto" w:fill="FFFFFF" w:themeFill="background1"/>
            <w:vAlign w:val="center"/>
          </w:tcPr>
          <w:p w14:paraId="5AF13214" w14:textId="77777777" w:rsidR="00215EC3" w:rsidRPr="00C77031" w:rsidRDefault="00215EC3" w:rsidP="002509D6">
            <w:pPr>
              <w:pStyle w:val="Tabelleninhalt"/>
            </w:pPr>
          </w:p>
        </w:tc>
      </w:tr>
      <w:tr w:rsidR="00215EC3" w:rsidRPr="00C77031" w14:paraId="71D43A18" w14:textId="77777777" w:rsidTr="002509D6">
        <w:trPr>
          <w:trHeight w:val="18"/>
        </w:trPr>
        <w:tc>
          <w:tcPr>
            <w:tcW w:w="3227" w:type="dxa"/>
            <w:shd w:val="clear" w:color="auto" w:fill="FFFFFF" w:themeFill="background1"/>
            <w:vAlign w:val="center"/>
          </w:tcPr>
          <w:p w14:paraId="11B78FF5" w14:textId="77777777" w:rsidR="00215EC3" w:rsidRPr="00215EC3" w:rsidRDefault="00215EC3" w:rsidP="002509D6">
            <w:pPr>
              <w:pStyle w:val="Tabelleninhalt"/>
              <w:rPr>
                <w:color w:val="00B050"/>
              </w:rPr>
            </w:pPr>
            <w:r w:rsidRPr="00215EC3">
              <w:rPr>
                <w:color w:val="00B050"/>
              </w:rPr>
              <w:t>Frisch- und Fortluftöffnung des Maschinenraums</w:t>
            </w:r>
          </w:p>
        </w:tc>
        <w:tc>
          <w:tcPr>
            <w:tcW w:w="5982" w:type="dxa"/>
            <w:shd w:val="clear" w:color="auto" w:fill="FFFFFF" w:themeFill="background1"/>
            <w:vAlign w:val="center"/>
          </w:tcPr>
          <w:p w14:paraId="4A1A6652" w14:textId="77777777" w:rsidR="00215EC3" w:rsidRPr="00C77031" w:rsidRDefault="00215EC3" w:rsidP="002509D6">
            <w:pPr>
              <w:pStyle w:val="Tabelleninhalt"/>
              <w:keepNext/>
            </w:pPr>
          </w:p>
        </w:tc>
      </w:tr>
    </w:tbl>
    <w:p w14:paraId="75C5908B" w14:textId="77777777" w:rsidR="00215EC3" w:rsidRPr="00215EC3" w:rsidRDefault="002509D6" w:rsidP="002509D6">
      <w:pPr>
        <w:pStyle w:val="Beschriftung"/>
      </w:pPr>
      <w:r>
        <w:t xml:space="preserve">Tab. </w:t>
      </w:r>
      <w:r w:rsidR="00AB5C47">
        <w:fldChar w:fldCharType="begin"/>
      </w:r>
      <w:r w:rsidR="00AB5C47">
        <w:instrText xml:space="preserve"> SEQ Tab. \* ARABIC </w:instrText>
      </w:r>
      <w:r w:rsidR="00AB5C47">
        <w:fldChar w:fldCharType="separate"/>
      </w:r>
      <w:r w:rsidR="00296A4C">
        <w:rPr>
          <w:noProof/>
        </w:rPr>
        <w:t>4</w:t>
      </w:r>
      <w:r w:rsidR="00AB5C47">
        <w:rPr>
          <w:noProof/>
        </w:rPr>
        <w:fldChar w:fldCharType="end"/>
      </w:r>
      <w:r>
        <w:t>: Schallquellen</w:t>
      </w:r>
    </w:p>
    <w:p w14:paraId="37471F01" w14:textId="77777777" w:rsidR="00215EC3" w:rsidRDefault="00215EC3" w:rsidP="00215EC3">
      <w:pPr>
        <w:pStyle w:val="berschrift1"/>
      </w:pPr>
      <w:r w:rsidRPr="00C77031">
        <w:t>Konformitätserklärung</w:t>
      </w:r>
    </w:p>
    <w:p w14:paraId="3E7D429A" w14:textId="77777777" w:rsidR="00215EC3" w:rsidRDefault="00215EC3" w:rsidP="00215EC3">
      <w:pPr>
        <w:rPr>
          <w:rFonts w:cs="Arial"/>
          <w:szCs w:val="20"/>
        </w:rPr>
      </w:pPr>
      <w:r w:rsidRPr="00C77031">
        <w:rPr>
          <w:rFonts w:cs="Arial"/>
          <w:szCs w:val="20"/>
        </w:rPr>
        <w:t>Die Übereinstimmung der Dr</w:t>
      </w:r>
      <w:r w:rsidR="002420C5">
        <w:rPr>
          <w:rFonts w:cs="Arial"/>
          <w:szCs w:val="20"/>
        </w:rPr>
        <w:t xml:space="preserve">uckgeräte mit den Vorgaben der </w:t>
      </w:r>
      <w:r w:rsidRPr="00C77031">
        <w:rPr>
          <w:rFonts w:cs="Arial"/>
          <w:szCs w:val="20"/>
        </w:rPr>
        <w:t>Duale Druckgeräteverordnung (DDGV) wird in Abhängigkeit des festgestellten Gefahrenpotentials durch eine Herstellererklärung oder durch eine Konformitätserklärung nachgewiesen. Mehrere Druckgeräte die eine funktionale Einheit bilden werden bei Bedarf einer Baugruppenbewertung unterzogen.</w:t>
      </w:r>
    </w:p>
    <w:p w14:paraId="6670F498" w14:textId="77777777" w:rsidR="00215EC3" w:rsidRDefault="00215EC3" w:rsidP="00215EC3">
      <w:pPr>
        <w:pStyle w:val="berschrift1"/>
      </w:pPr>
      <w:r>
        <w:t>Blitzschutz</w:t>
      </w:r>
    </w:p>
    <w:p w14:paraId="16646594" w14:textId="77777777" w:rsidR="00215EC3" w:rsidRPr="00DB3589" w:rsidRDefault="00215EC3" w:rsidP="00215EC3">
      <w:r w:rsidRPr="00A00F32">
        <w:t xml:space="preserve">Das Gebäude ist mit einer Blitzschutzanlage gemäß </w:t>
      </w:r>
      <w:r w:rsidRPr="00DB3589">
        <w:rPr>
          <w:color w:val="00B050"/>
        </w:rPr>
        <w:t>ÖVE/ÖNORM EN 62305 in der Blitzschutzklasse II</w:t>
      </w:r>
      <w:r w:rsidR="00DB3589" w:rsidRPr="00DB3589">
        <w:rPr>
          <w:color w:val="00B050"/>
        </w:rPr>
        <w:t>I</w:t>
      </w:r>
      <w:r w:rsidRPr="00DB3589">
        <w:rPr>
          <w:color w:val="00B050"/>
        </w:rPr>
        <w:t xml:space="preserve"> </w:t>
      </w:r>
      <w:r w:rsidRPr="00DB3589">
        <w:t>ausgestattet.</w:t>
      </w:r>
    </w:p>
    <w:p w14:paraId="2499A9FF" w14:textId="77777777" w:rsidR="00CB02A2" w:rsidRDefault="00CB02A2" w:rsidP="00CB02A2">
      <w:pPr>
        <w:pStyle w:val="berschrift1"/>
      </w:pPr>
      <w:r>
        <w:t>Wartung und Instandhaltung</w:t>
      </w:r>
    </w:p>
    <w:p w14:paraId="361B5D33" w14:textId="77777777" w:rsidR="00CB02A2" w:rsidRPr="00A00F32" w:rsidRDefault="00CB02A2" w:rsidP="00CB02A2">
      <w:r w:rsidRPr="00A00F32">
        <w:t>Die Wartungs- und Instandhaltungsarbeiten an der Wärmepumpe werden gemäß Herstellervorgaben ausgeführt.</w:t>
      </w:r>
    </w:p>
    <w:p w14:paraId="52D344E5" w14:textId="77777777" w:rsidR="00CB02A2" w:rsidRPr="00A00F32" w:rsidRDefault="00CB02A2" w:rsidP="00CB02A2">
      <w:r w:rsidRPr="00A00F32">
        <w:t>Bei Instandhaltungsarbeiten an der Wärmepumpe wird sichergestellt, dass Arbeits- und Betriebsanweisungen für Fremdfirmenmitarbeiter vor Beginn der Tätigkeiten zur Verfügung stehen und beachtet werden. Die spezifische Vor-Ort-Einweisung der Fremdfirmenmitarbeiter wird durchgeführt und dokumentiert.</w:t>
      </w:r>
    </w:p>
    <w:p w14:paraId="0E06D717" w14:textId="77777777" w:rsidR="00CB02A2" w:rsidRPr="00A00F32" w:rsidRDefault="00CB02A2" w:rsidP="00CB02A2">
      <w:r w:rsidRPr="00A00F32">
        <w:t>Im Maschinenraum wird von den dort anwesenden Personen die erforderliche Persönliche Schutzausrüstung (z. B. Fluchthaube, Fluchtfilter mit Korbbrille) mitgeführt.</w:t>
      </w:r>
    </w:p>
    <w:p w14:paraId="3776554A" w14:textId="77777777" w:rsidR="00CB02A2" w:rsidRPr="00A00F32" w:rsidRDefault="00CB02A2" w:rsidP="00CB02A2">
      <w:r w:rsidRPr="00A00F32">
        <w:t>Alle mit der Bedienung und Wartung der Wärmepumpe befassten Personen werden vor Inbetriebnahme nachweislich geschult und unterwiesen.</w:t>
      </w:r>
    </w:p>
    <w:p w14:paraId="51B2B9BE" w14:textId="77777777" w:rsidR="00CB02A2" w:rsidRDefault="00CB02A2" w:rsidP="00CB02A2">
      <w:pPr>
        <w:pStyle w:val="berschrift1"/>
      </w:pPr>
      <w:r>
        <w:lastRenderedPageBreak/>
        <w:t>Überprüfungen</w:t>
      </w:r>
    </w:p>
    <w:p w14:paraId="508CA143" w14:textId="77777777" w:rsidR="00CB02A2" w:rsidRDefault="00CB02A2" w:rsidP="00CB02A2">
      <w:pPr>
        <w:pStyle w:val="berschrift2"/>
        <w:rPr>
          <w:color w:val="00B050"/>
        </w:rPr>
      </w:pPr>
      <w:r w:rsidRPr="00CB02A2">
        <w:rPr>
          <w:color w:val="00B050"/>
        </w:rPr>
        <w:t>Wärmepumpen mit niedrigem Gefahrenpotential</w:t>
      </w:r>
    </w:p>
    <w:p w14:paraId="3E136F1E" w14:textId="77777777" w:rsidR="00CB02A2" w:rsidRDefault="00CB02A2" w:rsidP="00CB02A2">
      <w:pPr>
        <w:rPr>
          <w:rFonts w:cs="Arial"/>
          <w:szCs w:val="20"/>
        </w:rPr>
      </w:pPr>
      <w:r w:rsidRPr="00A00F32">
        <w:rPr>
          <w:rFonts w:cs="Arial"/>
          <w:szCs w:val="20"/>
        </w:rPr>
        <w:t>Vor Inbetriebnahme der Wärmepumpe wird eine Erstprüfung gemäß § 16 KAV durchgeführt. Das Prüfergebnis wird in einem Prüfbuch gemäß § 23 KAV eingetragen.</w:t>
      </w:r>
      <w:r>
        <w:rPr>
          <w:rFonts w:cs="Arial"/>
          <w:szCs w:val="20"/>
        </w:rPr>
        <w:t xml:space="preserve"> </w:t>
      </w:r>
      <w:r w:rsidRPr="00A00F32">
        <w:rPr>
          <w:rFonts w:cs="Arial"/>
          <w:szCs w:val="20"/>
        </w:rPr>
        <w:t xml:space="preserve">Die Wärmepumpe wird jährlich einer wiederkehrenden Überprüfung gemäß § 22 KAV unterzogen. </w:t>
      </w:r>
    </w:p>
    <w:p w14:paraId="0A9A9B55" w14:textId="77777777" w:rsidR="00CB02A2" w:rsidRDefault="00CB02A2" w:rsidP="00CB02A2">
      <w:pPr>
        <w:rPr>
          <w:rFonts w:cs="Arial"/>
          <w:szCs w:val="20"/>
        </w:rPr>
      </w:pPr>
      <w:r w:rsidRPr="00A00F32">
        <w:rPr>
          <w:rFonts w:cs="Arial"/>
          <w:szCs w:val="20"/>
        </w:rPr>
        <w:t xml:space="preserve">Im Zuge dieser Überprüfung wird </w:t>
      </w:r>
      <w:r>
        <w:rPr>
          <w:rFonts w:cs="Arial"/>
          <w:szCs w:val="20"/>
        </w:rPr>
        <w:t xml:space="preserve">eine </w:t>
      </w:r>
      <w:r w:rsidRPr="00A00F32">
        <w:rPr>
          <w:rFonts w:cs="Arial"/>
          <w:szCs w:val="20"/>
        </w:rPr>
        <w:t>Dichtheitsprüfung bei Betriebsdruck durchgeführt. Das Prüfergebnis wird in einem Prüfbuch gemäß § 23 KAV eingetragen.</w:t>
      </w:r>
    </w:p>
    <w:p w14:paraId="6845BFA7" w14:textId="77777777" w:rsidR="00CB02A2" w:rsidRDefault="00CB02A2" w:rsidP="00CB02A2">
      <w:pPr>
        <w:pStyle w:val="berschrift2"/>
        <w:rPr>
          <w:color w:val="00B050"/>
        </w:rPr>
      </w:pPr>
      <w:r w:rsidRPr="00CB02A2">
        <w:rPr>
          <w:color w:val="00B050"/>
        </w:rPr>
        <w:t>Wärmepumpen mit hohem Gefahrenpotential</w:t>
      </w:r>
    </w:p>
    <w:p w14:paraId="56D65736" w14:textId="77777777" w:rsidR="00CB02A2" w:rsidRPr="00A00F32" w:rsidRDefault="00CB02A2" w:rsidP="00CB02A2">
      <w:pPr>
        <w:pStyle w:val="Listenabsatz"/>
        <w:numPr>
          <w:ilvl w:val="0"/>
          <w:numId w:val="26"/>
        </w:numPr>
        <w:spacing w:after="100" w:line="300" w:lineRule="atLeast"/>
        <w:jc w:val="both"/>
        <w:rPr>
          <w:rFonts w:cs="Arial"/>
          <w:szCs w:val="20"/>
        </w:rPr>
      </w:pPr>
      <w:r w:rsidRPr="00A00F32">
        <w:rPr>
          <w:rFonts w:cs="Arial"/>
          <w:szCs w:val="20"/>
        </w:rPr>
        <w:t>Vor Inbetriebnahme der Wärmepumpe wird eine Druck- und Dichtheitsprüfung durchgeführt. Das Prüfergebnis wird in einem Prüfbuch gemäß § 23 KAV eingetragen.</w:t>
      </w:r>
    </w:p>
    <w:p w14:paraId="77DCA1E2" w14:textId="77777777" w:rsidR="00CB02A2" w:rsidRPr="00A00F32" w:rsidRDefault="00CB02A2" w:rsidP="00CB02A2">
      <w:pPr>
        <w:pStyle w:val="Listenabsatz"/>
        <w:numPr>
          <w:ilvl w:val="0"/>
          <w:numId w:val="26"/>
        </w:numPr>
        <w:spacing w:after="100" w:line="300" w:lineRule="atLeast"/>
        <w:jc w:val="both"/>
        <w:rPr>
          <w:rFonts w:cs="Arial"/>
          <w:szCs w:val="20"/>
        </w:rPr>
      </w:pPr>
      <w:r w:rsidRPr="00A00F32">
        <w:rPr>
          <w:rFonts w:cs="Arial"/>
          <w:szCs w:val="20"/>
        </w:rPr>
        <w:t>Die Wärmepumpe wird mindestens jährlich einer wiederkehrenden Überprüfung gemäß § 22 KAV unterzogen. Diese Überprüfung kann vom Hersteller durchgeführt werden.</w:t>
      </w:r>
    </w:p>
    <w:p w14:paraId="663B5130" w14:textId="77777777" w:rsidR="00CB02A2" w:rsidRPr="00A00F32" w:rsidRDefault="00CB02A2" w:rsidP="00CB02A2">
      <w:pPr>
        <w:pStyle w:val="Listenabsatz"/>
        <w:numPr>
          <w:ilvl w:val="0"/>
          <w:numId w:val="26"/>
        </w:numPr>
        <w:spacing w:after="100" w:line="300" w:lineRule="atLeast"/>
        <w:jc w:val="both"/>
        <w:rPr>
          <w:rFonts w:cs="Arial"/>
          <w:szCs w:val="20"/>
        </w:rPr>
      </w:pPr>
      <w:r w:rsidRPr="00A00F32">
        <w:rPr>
          <w:rFonts w:cs="Arial"/>
          <w:szCs w:val="20"/>
        </w:rPr>
        <w:t>Die erforderlichen wiederkehrenden Überprüfungen gemäß der DGÜW-V werden gemäß den Sonderbestimmungen gemäß Anlage 3 DGÜW-V durchgeführt. Das Prüfergebnis wird in einem Prüfbuch gemäß § 23 KAV eingetragen.</w:t>
      </w:r>
    </w:p>
    <w:p w14:paraId="0CA68278" w14:textId="77777777" w:rsidR="00CB02A2" w:rsidRDefault="00CB02A2" w:rsidP="00CB02A2">
      <w:pPr>
        <w:pStyle w:val="berschrift2"/>
      </w:pPr>
      <w:r>
        <w:t xml:space="preserve"> Gaswarneinrichtungen</w:t>
      </w:r>
    </w:p>
    <w:p w14:paraId="6AE7FBE0" w14:textId="77777777" w:rsidR="00CB02A2" w:rsidRPr="00A00F32" w:rsidRDefault="00CB02A2" w:rsidP="00CB02A2">
      <w:pPr>
        <w:pStyle w:val="Listenabsatz"/>
        <w:numPr>
          <w:ilvl w:val="0"/>
          <w:numId w:val="27"/>
        </w:numPr>
        <w:spacing w:after="100" w:line="300" w:lineRule="atLeast"/>
        <w:jc w:val="both"/>
        <w:rPr>
          <w:rFonts w:cs="Arial"/>
          <w:szCs w:val="20"/>
        </w:rPr>
      </w:pPr>
      <w:r w:rsidRPr="00A00F32">
        <w:rPr>
          <w:rFonts w:cs="Arial"/>
          <w:szCs w:val="20"/>
        </w:rPr>
        <w:t xml:space="preserve">Eine Fachkraft wird mit der Abnahmeprüfung der Gaswarneinrichtung beauftragt. Im Zuge der Abnahmeprüfung wird eine Systemprüfung gemäß BG RCI T021 bzw. BG RCI T023 durchgeführt. Das Ergebnis dieser Überprüfung wird in einem Prüfbefund dokumentiert. </w:t>
      </w:r>
    </w:p>
    <w:p w14:paraId="60B6A8C0" w14:textId="77777777" w:rsidR="00CB02A2" w:rsidRPr="00A00F32" w:rsidRDefault="00CB02A2" w:rsidP="00CB02A2">
      <w:pPr>
        <w:pStyle w:val="Listenabsatz"/>
        <w:numPr>
          <w:ilvl w:val="0"/>
          <w:numId w:val="27"/>
        </w:numPr>
        <w:spacing w:after="100" w:line="300" w:lineRule="atLeast"/>
        <w:jc w:val="both"/>
        <w:rPr>
          <w:rFonts w:cs="Arial"/>
          <w:szCs w:val="20"/>
        </w:rPr>
      </w:pPr>
      <w:r w:rsidRPr="00A00F32">
        <w:rPr>
          <w:rFonts w:cs="Arial"/>
          <w:szCs w:val="20"/>
        </w:rPr>
        <w:t xml:space="preserve">Die Gaswarneinrichtungen werden nach Angaben des Herstellers kalibriert. Darüber hinaus wird nach Angaben des Herstellers, jedoch mindestens einmal jährlich einer Systemkontrolle der Gaswarneinrichtungen durchgeführt. Das Ergebnis dieser Überprüfung wird in einem Prüfbefund dokumentiert. </w:t>
      </w:r>
    </w:p>
    <w:p w14:paraId="5A74A8A3" w14:textId="77777777" w:rsidR="00CB02A2" w:rsidRDefault="00CB02A2" w:rsidP="00CB02A2">
      <w:pPr>
        <w:pStyle w:val="berschrift2"/>
      </w:pPr>
      <w:r>
        <w:t>Explosionsschutz</w:t>
      </w:r>
    </w:p>
    <w:p w14:paraId="48765BB7" w14:textId="77777777" w:rsidR="00CB02A2" w:rsidRPr="00A00F32" w:rsidRDefault="00CB02A2" w:rsidP="00CB02A2">
      <w:pPr>
        <w:pStyle w:val="Listenabsatz"/>
        <w:numPr>
          <w:ilvl w:val="0"/>
          <w:numId w:val="28"/>
        </w:numPr>
        <w:spacing w:after="100" w:line="300" w:lineRule="atLeast"/>
        <w:jc w:val="both"/>
        <w:rPr>
          <w:rStyle w:val="markedcontent"/>
        </w:rPr>
      </w:pPr>
      <w:r w:rsidRPr="00A00F32">
        <w:rPr>
          <w:rStyle w:val="markedcontent"/>
        </w:rPr>
        <w:t>Für nicht explosionsgeschützte Betriebsmittel im Maschinenraum wird ein Nachweis eingeholt, dass die Oberflächentemperatur dieser Betriebsmittel im Normalbetrieb 500 °C nicht überschreitet.</w:t>
      </w:r>
    </w:p>
    <w:p w14:paraId="7FA967E6" w14:textId="77777777" w:rsidR="00CB02A2" w:rsidRPr="00A00F32" w:rsidRDefault="00CB02A2" w:rsidP="00CB02A2">
      <w:pPr>
        <w:pStyle w:val="Listenabsatz"/>
        <w:numPr>
          <w:ilvl w:val="0"/>
          <w:numId w:val="28"/>
        </w:numPr>
        <w:spacing w:after="100" w:line="300" w:lineRule="atLeast"/>
        <w:jc w:val="both"/>
        <w:rPr>
          <w:rStyle w:val="markedcontent"/>
        </w:rPr>
      </w:pPr>
      <w:r w:rsidRPr="00A00F32">
        <w:rPr>
          <w:rStyle w:val="markedcontent"/>
        </w:rPr>
        <w:t>Die elektrischen Anlagen/Betriebsmittel in explosionsgefährdeten Bereichen werden gemäß</w:t>
      </w:r>
      <w:r w:rsidRPr="00A00F32">
        <w:br/>
      </w:r>
      <w:r w:rsidRPr="00A00F32">
        <w:rPr>
          <w:rStyle w:val="markedcontent"/>
        </w:rPr>
        <w:t>ÖVE/ÖNORM EN 60079-14 errichtet. Vor Inbetriebnahme wird eine</w:t>
      </w:r>
      <w:r w:rsidRPr="00A00F32">
        <w:br/>
      </w:r>
      <w:r w:rsidRPr="00A00F32">
        <w:rPr>
          <w:rStyle w:val="markedcontent"/>
        </w:rPr>
        <w:t>Erstprüfung gemäß Abschnitt 4.3 von einer gemäß Abschnitt 4.5 qualifizierten Person</w:t>
      </w:r>
      <w:r w:rsidRPr="00A00F32">
        <w:br/>
      </w:r>
      <w:r w:rsidRPr="00A00F32">
        <w:rPr>
          <w:rStyle w:val="markedcontent"/>
        </w:rPr>
        <w:t>durchgeführt. Das Ergebnis dieser Prüfung wird in einem Prüfbefund festgehalten.</w:t>
      </w:r>
    </w:p>
    <w:p w14:paraId="2103DC64" w14:textId="77777777" w:rsidR="00CB02A2" w:rsidRPr="00A00F32" w:rsidRDefault="00CB02A2" w:rsidP="00CB02A2">
      <w:pPr>
        <w:pStyle w:val="Listenabsatz"/>
        <w:numPr>
          <w:ilvl w:val="0"/>
          <w:numId w:val="28"/>
        </w:numPr>
        <w:spacing w:after="100" w:line="300" w:lineRule="atLeast"/>
        <w:jc w:val="both"/>
        <w:rPr>
          <w:rStyle w:val="markedcontent"/>
        </w:rPr>
      </w:pPr>
      <w:r w:rsidRPr="00A00F32">
        <w:rPr>
          <w:rStyle w:val="markedcontent"/>
        </w:rPr>
        <w:t>Die elektrischen Anlagen/Betriebsmittel in den explosionsgefährdeten Bereichen werden gemäß der</w:t>
      </w:r>
      <w:r w:rsidRPr="00A00F32">
        <w:t xml:space="preserve"> </w:t>
      </w:r>
      <w:r w:rsidRPr="00A00F32">
        <w:rPr>
          <w:rStyle w:val="markedcontent"/>
        </w:rPr>
        <w:t>ÖVE/ÖNORM EN 60079-17 jährlich einer wiederkehrenden Prüfung unterzogen. Die Ergebnisse dieser Prüfungen werden in Prüfbefunden festgehalten.</w:t>
      </w:r>
    </w:p>
    <w:p w14:paraId="2C2AA94B" w14:textId="77777777" w:rsidR="00CB02A2" w:rsidRPr="00A00F32" w:rsidRDefault="00CB02A2" w:rsidP="00CB02A2">
      <w:pPr>
        <w:pStyle w:val="Listenabsatz"/>
        <w:numPr>
          <w:ilvl w:val="0"/>
          <w:numId w:val="28"/>
        </w:numPr>
        <w:spacing w:after="100" w:line="300" w:lineRule="atLeast"/>
        <w:jc w:val="both"/>
        <w:rPr>
          <w:rStyle w:val="markedcontent"/>
        </w:rPr>
      </w:pPr>
      <w:r w:rsidRPr="00A00F32">
        <w:rPr>
          <w:rStyle w:val="markedcontent"/>
        </w:rPr>
        <w:t>Die Blitzschutzanlage für explosionsgefährdete Bereiche wird gemäß ÖVE/ÖNORM EN 62305-3</w:t>
      </w:r>
      <w:r w:rsidRPr="00A00F32">
        <w:t xml:space="preserve"> </w:t>
      </w:r>
      <w:r w:rsidRPr="00A00F32">
        <w:rPr>
          <w:rStyle w:val="markedcontent"/>
        </w:rPr>
        <w:t>unter Berücksichtigung des Beiblattes 1 errichtet. Vor Inbetriebnahme wird die Dokumentation gemäß Abschnitt 10.3 von einer Blitzschutzfachkraft gemäß Abschnitt 10.1</w:t>
      </w:r>
      <w:r w:rsidRPr="00A00F32">
        <w:br/>
      </w:r>
      <w:r w:rsidRPr="00A00F32">
        <w:rPr>
          <w:rStyle w:val="markedcontent"/>
        </w:rPr>
        <w:t>des Beiblattes 1 erstellt.</w:t>
      </w:r>
    </w:p>
    <w:p w14:paraId="7BAD683A" w14:textId="77777777" w:rsidR="00CB02A2" w:rsidRPr="00A00F32" w:rsidRDefault="00CB02A2" w:rsidP="00CB02A2">
      <w:pPr>
        <w:pStyle w:val="Listenabsatz"/>
        <w:numPr>
          <w:ilvl w:val="0"/>
          <w:numId w:val="28"/>
        </w:numPr>
        <w:spacing w:after="100" w:line="300" w:lineRule="atLeast"/>
        <w:jc w:val="both"/>
        <w:rPr>
          <w:rStyle w:val="markedcontent"/>
        </w:rPr>
      </w:pPr>
      <w:r w:rsidRPr="00A00F32">
        <w:rPr>
          <w:rStyle w:val="markedcontent"/>
        </w:rPr>
        <w:t>Die Blitzschutzanlage für die explosionsgefährdeten Bereiche wird jährlich gemäß der</w:t>
      </w:r>
      <w:r w:rsidRPr="00A00F32">
        <w:br/>
      </w:r>
      <w:r w:rsidRPr="00A00F32">
        <w:rPr>
          <w:rStyle w:val="markedcontent"/>
        </w:rPr>
        <w:t>ÖVE/ÖNORM EN 62305 einer wiederkehrenden Prüfung unterzogen. Die Ergebnisse dieser Prüfungen werden in Prüfbefunden festgehalten.</w:t>
      </w:r>
    </w:p>
    <w:p w14:paraId="46846BEF" w14:textId="77777777" w:rsidR="00CB02A2" w:rsidRPr="00A00F32" w:rsidRDefault="00CB02A2" w:rsidP="00CB02A2">
      <w:pPr>
        <w:pStyle w:val="berschrift2"/>
        <w:keepLines w:val="0"/>
        <w:spacing w:before="360" w:after="120" w:line="300" w:lineRule="atLeast"/>
        <w:ind w:left="578" w:hanging="578"/>
        <w:jc w:val="both"/>
      </w:pPr>
      <w:r w:rsidRPr="00A00F32">
        <w:lastRenderedPageBreak/>
        <w:t>Mechanische Notentlüftung des Maschinenraums</w:t>
      </w:r>
    </w:p>
    <w:p w14:paraId="612D9B32" w14:textId="77777777" w:rsidR="00CB02A2" w:rsidRPr="00A00F32" w:rsidRDefault="00CB02A2" w:rsidP="00CB02A2">
      <w:pPr>
        <w:pStyle w:val="Listenabsatz"/>
        <w:numPr>
          <w:ilvl w:val="0"/>
          <w:numId w:val="29"/>
        </w:numPr>
        <w:spacing w:after="100" w:line="300" w:lineRule="atLeast"/>
        <w:jc w:val="both"/>
        <w:rPr>
          <w:rFonts w:cs="Arial"/>
          <w:szCs w:val="20"/>
        </w:rPr>
      </w:pPr>
      <w:r w:rsidRPr="00A00F32">
        <w:rPr>
          <w:rFonts w:cs="Arial"/>
          <w:szCs w:val="20"/>
        </w:rPr>
        <w:t>Die mechanische Notentlüftung des Maschinenraums wird mindestens einmal jährlich auf ihren ordnungsgemäßen Zustand überprüft. Das Prüfergebnis wird in einem Prüfbuch gemäß § 23 KAV eingetragen.</w:t>
      </w:r>
    </w:p>
    <w:p w14:paraId="2DA7B22B" w14:textId="77777777" w:rsidR="00CB02A2" w:rsidRPr="00A00F32" w:rsidRDefault="00CB02A2" w:rsidP="00CB02A2">
      <w:pPr>
        <w:rPr>
          <w:rFonts w:cs="Arial"/>
          <w:b/>
          <w:smallCaps/>
          <w:szCs w:val="20"/>
          <w:u w:val="single"/>
        </w:rPr>
      </w:pPr>
    </w:p>
    <w:p w14:paraId="156AEFC5" w14:textId="77777777" w:rsidR="00CB02A2" w:rsidRPr="00A00F32" w:rsidRDefault="00CB02A2" w:rsidP="00CB02A2">
      <w:pPr>
        <w:pStyle w:val="berschrift1"/>
        <w:keepNext w:val="0"/>
        <w:keepLines w:val="0"/>
        <w:spacing w:after="120" w:line="300" w:lineRule="atLeast"/>
        <w:ind w:left="431" w:hanging="431"/>
        <w:contextualSpacing w:val="0"/>
        <w:jc w:val="both"/>
      </w:pPr>
      <w:r w:rsidRPr="00A00F32">
        <w:t>Ausnahmeantrag</w:t>
      </w:r>
    </w:p>
    <w:p w14:paraId="427D0B5E" w14:textId="77777777" w:rsidR="00CB02A2" w:rsidRPr="00CB02A2" w:rsidRDefault="00CB02A2" w:rsidP="00CB02A2">
      <w:pPr>
        <w:rPr>
          <w:rFonts w:cs="Arial"/>
          <w:b/>
          <w:color w:val="00B050"/>
          <w:szCs w:val="20"/>
        </w:rPr>
      </w:pPr>
      <w:r w:rsidRPr="00CB02A2">
        <w:rPr>
          <w:rFonts w:cs="Arial"/>
          <w:b/>
          <w:color w:val="00B050"/>
          <w:szCs w:val="20"/>
        </w:rPr>
        <w:t>Ausnahmeantrag von KAV formulieren, falls erforderlich</w:t>
      </w:r>
      <w:r>
        <w:rPr>
          <w:rFonts w:cs="Arial"/>
          <w:b/>
          <w:color w:val="00B050"/>
          <w:szCs w:val="20"/>
        </w:rPr>
        <w:t>!</w:t>
      </w:r>
    </w:p>
    <w:p w14:paraId="5229F4D5" w14:textId="77777777" w:rsidR="00CB02A2" w:rsidRPr="00A00F32" w:rsidRDefault="00CB02A2" w:rsidP="00CB02A2"/>
    <w:p w14:paraId="2EA2677F" w14:textId="77777777" w:rsidR="00CB02A2" w:rsidRPr="00A00F32" w:rsidRDefault="00CB02A2" w:rsidP="00CB02A2">
      <w:pPr>
        <w:pStyle w:val="berschrift1"/>
        <w:keepNext w:val="0"/>
        <w:keepLines w:val="0"/>
        <w:spacing w:after="120" w:line="300" w:lineRule="atLeast"/>
        <w:ind w:left="431" w:hanging="431"/>
        <w:contextualSpacing w:val="0"/>
        <w:jc w:val="both"/>
      </w:pPr>
      <w:r w:rsidRPr="00A00F32">
        <w:t>Erforderliche Beilagen</w:t>
      </w:r>
    </w:p>
    <w:p w14:paraId="27693DFE" w14:textId="77777777" w:rsidR="00CB02A2" w:rsidRPr="00A00F32" w:rsidRDefault="00CB02A2" w:rsidP="00CB02A2">
      <w:pPr>
        <w:pStyle w:val="Listenabsatz"/>
        <w:numPr>
          <w:ilvl w:val="0"/>
          <w:numId w:val="29"/>
        </w:numPr>
        <w:spacing w:after="100" w:line="300" w:lineRule="atLeast"/>
        <w:jc w:val="both"/>
      </w:pPr>
      <w:r w:rsidRPr="00A00F32">
        <w:t>Lageplan</w:t>
      </w:r>
    </w:p>
    <w:p w14:paraId="0B7BFE5C" w14:textId="77777777" w:rsidR="00CB02A2" w:rsidRPr="00A00F32" w:rsidRDefault="00CB02A2" w:rsidP="00CB02A2">
      <w:pPr>
        <w:pStyle w:val="Listenabsatz"/>
        <w:numPr>
          <w:ilvl w:val="0"/>
          <w:numId w:val="29"/>
        </w:numPr>
        <w:spacing w:after="100" w:line="300" w:lineRule="atLeast"/>
        <w:jc w:val="both"/>
      </w:pPr>
      <w:r w:rsidRPr="00A00F32">
        <w:t>Aufstellungspläne – Grundrisse und Schnitte (im Aufstellungsplan sind auch die Positionen der Gaswarneinrichtungen und zugehörigen Sicherheitseinrichtungen darzustellen.)</w:t>
      </w:r>
    </w:p>
    <w:p w14:paraId="2ED9D508" w14:textId="77777777" w:rsidR="00CB02A2" w:rsidRPr="00A00F32" w:rsidRDefault="00CB02A2" w:rsidP="00CB02A2">
      <w:pPr>
        <w:pStyle w:val="Listenabsatz"/>
        <w:numPr>
          <w:ilvl w:val="0"/>
          <w:numId w:val="29"/>
        </w:numPr>
        <w:spacing w:after="100" w:line="300" w:lineRule="atLeast"/>
        <w:jc w:val="both"/>
      </w:pPr>
      <w:r w:rsidRPr="00A00F32">
        <w:t>Lüftungsplan</w:t>
      </w:r>
    </w:p>
    <w:p w14:paraId="75CE63ED" w14:textId="77777777" w:rsidR="00CB02A2" w:rsidRPr="00A00F32" w:rsidRDefault="00CB02A2" w:rsidP="00CB02A2">
      <w:pPr>
        <w:pStyle w:val="Listenabsatz"/>
        <w:numPr>
          <w:ilvl w:val="0"/>
          <w:numId w:val="29"/>
        </w:numPr>
        <w:spacing w:after="100" w:line="300" w:lineRule="atLeast"/>
        <w:jc w:val="both"/>
      </w:pPr>
      <w:r w:rsidRPr="00A00F32">
        <w:t>Fluchtwegeplan</w:t>
      </w:r>
    </w:p>
    <w:p w14:paraId="09DC7B01" w14:textId="77777777" w:rsidR="00CB02A2" w:rsidRPr="00A00F32" w:rsidRDefault="00CB02A2" w:rsidP="00CB02A2">
      <w:pPr>
        <w:pStyle w:val="Listenabsatz"/>
        <w:numPr>
          <w:ilvl w:val="0"/>
          <w:numId w:val="29"/>
        </w:numPr>
        <w:spacing w:after="100" w:line="300" w:lineRule="atLeast"/>
        <w:jc w:val="both"/>
      </w:pPr>
      <w:r w:rsidRPr="00A00F32">
        <w:t>Ex-Zonenplan</w:t>
      </w:r>
    </w:p>
    <w:p w14:paraId="6A678B3C" w14:textId="77777777" w:rsidR="00CB02A2" w:rsidRPr="00A00F32" w:rsidRDefault="00CB02A2" w:rsidP="00CB02A2">
      <w:pPr>
        <w:pStyle w:val="Listenabsatz"/>
        <w:numPr>
          <w:ilvl w:val="0"/>
          <w:numId w:val="29"/>
        </w:numPr>
        <w:spacing w:after="100" w:line="300" w:lineRule="atLeast"/>
        <w:jc w:val="both"/>
      </w:pPr>
      <w:r w:rsidRPr="00A00F32">
        <w:t>R&amp;I-Schema der Wärmepumpe</w:t>
      </w:r>
    </w:p>
    <w:p w14:paraId="21556DA4" w14:textId="77777777" w:rsidR="00CB02A2" w:rsidRPr="00CB02A2" w:rsidRDefault="00CB02A2" w:rsidP="00CB02A2"/>
    <w:p w14:paraId="655BF52F" w14:textId="77777777" w:rsidR="00CB02A2" w:rsidRPr="00CB02A2" w:rsidRDefault="00CB02A2" w:rsidP="00CB02A2"/>
    <w:sectPr w:rsidR="00CB02A2" w:rsidRPr="00CB02A2" w:rsidSect="00CB02A2">
      <w:headerReference w:type="default" r:id="rId10"/>
      <w:footerReference w:type="default" r:id="rId11"/>
      <w:headerReference w:type="first" r:id="rId12"/>
      <w:footerReference w:type="first" r:id="rId13"/>
      <w:type w:val="continuous"/>
      <w:pgSz w:w="11906" w:h="16838" w:code="9"/>
      <w:pgMar w:top="1134" w:right="851" w:bottom="1134" w:left="1588"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16F46" w14:textId="77777777" w:rsidR="00E47F86" w:rsidRDefault="00E47F86" w:rsidP="00921517">
      <w:pPr>
        <w:spacing w:after="0" w:line="240" w:lineRule="auto"/>
      </w:pPr>
      <w:r>
        <w:separator/>
      </w:r>
    </w:p>
  </w:endnote>
  <w:endnote w:type="continuationSeparator" w:id="0">
    <w:p w14:paraId="7C5873BD" w14:textId="77777777" w:rsidR="00E47F86" w:rsidRDefault="00E47F86" w:rsidP="009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CB02A2" w14:paraId="5B84A927" w14:textId="77777777" w:rsidTr="00611A92">
      <w:tc>
        <w:tcPr>
          <w:tcW w:w="4728" w:type="dxa"/>
        </w:tcPr>
        <w:p w14:paraId="123C3E42" w14:textId="77777777" w:rsidR="00CB02A2" w:rsidRDefault="00CB02A2" w:rsidP="00CB02A2">
          <w:pPr>
            <w:pStyle w:val="Fuzeile"/>
            <w:jc w:val="left"/>
          </w:pPr>
          <w:r>
            <w:t>Abt. Emissionen Sicherheitstechnik Anlagen</w:t>
          </w:r>
        </w:p>
      </w:tc>
      <w:tc>
        <w:tcPr>
          <w:tcW w:w="4729" w:type="dxa"/>
        </w:tcPr>
        <w:p w14:paraId="2C2D28D8" w14:textId="77777777" w:rsidR="00CB02A2" w:rsidRDefault="00CB02A2" w:rsidP="00CB02A2">
          <w:pPr>
            <w:pStyle w:val="Fuzeile"/>
          </w:pPr>
          <w:r>
            <w:t xml:space="preserve">- </w:t>
          </w:r>
          <w:sdt>
            <w:sdtPr>
              <w:id w:val="-502660918"/>
              <w:docPartObj>
                <w:docPartGallery w:val="Page Numbers (Bottom of Page)"/>
                <w:docPartUnique/>
              </w:docPartObj>
            </w:sdtPr>
            <w:sdtEndPr/>
            <w:sdtContent>
              <w:r>
                <w:fldChar w:fldCharType="begin"/>
              </w:r>
              <w:r>
                <w:instrText>PAGE   \* MERGEFORMAT</w:instrText>
              </w:r>
              <w:r>
                <w:fldChar w:fldCharType="separate"/>
              </w:r>
              <w:r w:rsidR="00AB5C47">
                <w:rPr>
                  <w:noProof/>
                </w:rPr>
                <w:t>3</w:t>
              </w:r>
              <w:r>
                <w:fldChar w:fldCharType="end"/>
              </w:r>
              <w:r>
                <w:t xml:space="preserve"> -</w:t>
              </w:r>
            </w:sdtContent>
          </w:sdt>
        </w:p>
      </w:tc>
    </w:tr>
  </w:tbl>
  <w:p w14:paraId="0B5A3056" w14:textId="77777777" w:rsidR="00CB02A2" w:rsidRDefault="00CB02A2" w:rsidP="00CB02A2">
    <w:pPr>
      <w:pStyle w:val="Fuzeile"/>
      <w:jc w:val="left"/>
    </w:pPr>
  </w:p>
  <w:p w14:paraId="1DFD0DB0" w14:textId="77777777" w:rsidR="00CB02A2" w:rsidRDefault="00CB02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C8410F" w14:paraId="6AFDA588" w14:textId="77777777" w:rsidTr="00B35E73">
      <w:tc>
        <w:tcPr>
          <w:tcW w:w="4728" w:type="dxa"/>
        </w:tcPr>
        <w:p w14:paraId="1D28620C" w14:textId="77777777" w:rsidR="00C8410F" w:rsidRDefault="00C8410F" w:rsidP="00C8410F">
          <w:pPr>
            <w:pStyle w:val="Fuzeile"/>
            <w:jc w:val="left"/>
          </w:pPr>
          <w:r>
            <w:t>Abt. Emissionen Sicherheitstechnik Anlagen</w:t>
          </w:r>
        </w:p>
      </w:tc>
      <w:tc>
        <w:tcPr>
          <w:tcW w:w="4729" w:type="dxa"/>
        </w:tcPr>
        <w:p w14:paraId="314624C7" w14:textId="77777777" w:rsidR="00C8410F" w:rsidRDefault="00C8410F" w:rsidP="00C8410F">
          <w:pPr>
            <w:pStyle w:val="Fuzeile"/>
          </w:pPr>
          <w:r>
            <w:t xml:space="preserve">- </w:t>
          </w:r>
          <w:sdt>
            <w:sdtPr>
              <w:id w:val="-1484235510"/>
              <w:docPartObj>
                <w:docPartGallery w:val="Page Numbers (Bottom of Page)"/>
                <w:docPartUnique/>
              </w:docPartObj>
            </w:sdtPr>
            <w:sdtEndPr/>
            <w:sdtContent>
              <w:r>
                <w:fldChar w:fldCharType="begin"/>
              </w:r>
              <w:r>
                <w:instrText>PAGE   \* MERGEFORMAT</w:instrText>
              </w:r>
              <w:r>
                <w:fldChar w:fldCharType="separate"/>
              </w:r>
              <w:r w:rsidR="00CB02A2">
                <w:rPr>
                  <w:noProof/>
                </w:rPr>
                <w:t>1</w:t>
              </w:r>
              <w:r>
                <w:fldChar w:fldCharType="end"/>
              </w:r>
              <w:r>
                <w:t xml:space="preserve"> -</w:t>
              </w:r>
            </w:sdtContent>
          </w:sdt>
        </w:p>
      </w:tc>
    </w:tr>
  </w:tbl>
  <w:p w14:paraId="1FC437F0" w14:textId="77777777" w:rsidR="00982455" w:rsidRDefault="00982455" w:rsidP="00C8410F">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C1A70" w14:textId="77777777" w:rsidR="00E47F86" w:rsidRDefault="00E47F86" w:rsidP="00921517">
      <w:pPr>
        <w:spacing w:after="0" w:line="240" w:lineRule="auto"/>
      </w:pPr>
      <w:r>
        <w:separator/>
      </w:r>
    </w:p>
  </w:footnote>
  <w:footnote w:type="continuationSeparator" w:id="0">
    <w:p w14:paraId="02F501EB" w14:textId="77777777" w:rsidR="00E47F86" w:rsidRDefault="00E47F86" w:rsidP="00921517">
      <w:pPr>
        <w:spacing w:after="0" w:line="240" w:lineRule="auto"/>
      </w:pPr>
      <w:r>
        <w:continuationSeparator/>
      </w:r>
    </w:p>
  </w:footnote>
  <w:footnote w:id="1">
    <w:p w14:paraId="6DD15FBB" w14:textId="77777777" w:rsidR="00267B9F" w:rsidRPr="00C77031" w:rsidRDefault="00267B9F" w:rsidP="00267B9F">
      <w:pPr>
        <w:pStyle w:val="Funotentext"/>
        <w:rPr>
          <w:rFonts w:cs="Arial"/>
        </w:rPr>
      </w:pPr>
      <w:r w:rsidRPr="00C77031">
        <w:rPr>
          <w:rStyle w:val="Funotenzeichen"/>
          <w:rFonts w:cs="Arial"/>
        </w:rPr>
        <w:footnoteRef/>
      </w:r>
      <w:r w:rsidRPr="00C77031">
        <w:rPr>
          <w:rFonts w:cs="Arial"/>
        </w:rPr>
        <w:t xml:space="preserve"> A = Allgemeiner Zugangsbereich</w:t>
      </w:r>
    </w:p>
  </w:footnote>
  <w:footnote w:id="2">
    <w:p w14:paraId="1452756F" w14:textId="77777777" w:rsidR="00267B9F" w:rsidRDefault="00267B9F" w:rsidP="00267B9F">
      <w:pPr>
        <w:pStyle w:val="Funotentext"/>
      </w:pPr>
      <w:r w:rsidRPr="00C77031">
        <w:rPr>
          <w:rStyle w:val="Funotenzeichen"/>
          <w:rFonts w:cs="Arial"/>
        </w:rPr>
        <w:footnoteRef/>
      </w:r>
      <w:r w:rsidRPr="00C77031">
        <w:rPr>
          <w:rFonts w:cs="Arial"/>
        </w:rPr>
        <w:t xml:space="preserve"> B = Bereich zu dem nur unterwiesene Personen Zugang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gridCol w:w="1129"/>
    </w:tblGrid>
    <w:tr w:rsidR="00CB02A2" w14:paraId="06B7A86C" w14:textId="77777777" w:rsidTr="00611A92">
      <w:tc>
        <w:tcPr>
          <w:tcW w:w="9078" w:type="dxa"/>
          <w:vAlign w:val="center"/>
        </w:tcPr>
        <w:p w14:paraId="55D8530D" w14:textId="77777777" w:rsidR="00CB02A2" w:rsidRPr="00982455" w:rsidRDefault="00CB02A2" w:rsidP="00CB02A2">
          <w:pPr>
            <w:pStyle w:val="Kopfzeile"/>
            <w:rPr>
              <w:szCs w:val="16"/>
            </w:rPr>
          </w:pPr>
          <w:r>
            <w:rPr>
              <w:szCs w:val="16"/>
            </w:rPr>
            <w:t>Vorlage für Technische Beschreibung für Ammoniak-Wärmepumpe</w:t>
          </w:r>
        </w:p>
        <w:p w14:paraId="66F7095D" w14:textId="77777777" w:rsidR="00CB02A2" w:rsidRDefault="00CB02A2" w:rsidP="00CB02A2">
          <w:pPr>
            <w:pStyle w:val="Kopfzeile"/>
            <w:rPr>
              <w:szCs w:val="16"/>
            </w:rPr>
          </w:pPr>
          <w:r w:rsidRPr="00982455">
            <w:rPr>
              <w:szCs w:val="16"/>
            </w:rPr>
            <w:t xml:space="preserve">Version: </w:t>
          </w:r>
          <w:r>
            <w:rPr>
              <w:szCs w:val="16"/>
            </w:rPr>
            <w:t>V0001</w:t>
          </w:r>
        </w:p>
        <w:p w14:paraId="2E2F275A" w14:textId="77777777" w:rsidR="00CB02A2" w:rsidRDefault="005335D0" w:rsidP="00CB02A2">
          <w:pPr>
            <w:pStyle w:val="Kopfzeile"/>
            <w:rPr>
              <w:sz w:val="16"/>
              <w:szCs w:val="16"/>
            </w:rPr>
          </w:pPr>
          <w:r>
            <w:rPr>
              <w:szCs w:val="16"/>
            </w:rPr>
            <w:t>Stand: 08</w:t>
          </w:r>
          <w:r w:rsidR="00CB02A2">
            <w:rPr>
              <w:szCs w:val="16"/>
            </w:rPr>
            <w:t>/2023</w:t>
          </w:r>
        </w:p>
      </w:tc>
      <w:tc>
        <w:tcPr>
          <w:tcW w:w="1129" w:type="dxa"/>
          <w:vAlign w:val="center"/>
        </w:tcPr>
        <w:p w14:paraId="6205771E" w14:textId="77777777" w:rsidR="00CB02A2" w:rsidRDefault="00CB02A2" w:rsidP="00CB02A2">
          <w:pPr>
            <w:pStyle w:val="Kopfzeile"/>
            <w:jc w:val="right"/>
            <w:rPr>
              <w:sz w:val="16"/>
              <w:szCs w:val="16"/>
            </w:rPr>
          </w:pPr>
          <w:r>
            <w:rPr>
              <w:noProof/>
              <w:lang w:val="de-AT" w:eastAsia="de-AT"/>
            </w:rPr>
            <w:drawing>
              <wp:inline distT="0" distB="0" distL="0" distR="0" wp14:anchorId="14479A5B" wp14:editId="19F954E6">
                <wp:extent cx="540000" cy="540000"/>
                <wp:effectExtent l="0" t="0" r="0" b="0"/>
                <wp:docPr id="1" name="Grafik 1" descr="Bildmarken der Amtssignatur |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marken der Amtssignatur | Land Tir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EC4E7A3" w14:textId="77777777" w:rsidR="00CB02A2" w:rsidRDefault="00CB02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gridCol w:w="1129"/>
    </w:tblGrid>
    <w:tr w:rsidR="00982455" w14:paraId="7D765458" w14:textId="77777777" w:rsidTr="00653CF1">
      <w:tc>
        <w:tcPr>
          <w:tcW w:w="9078" w:type="dxa"/>
          <w:vAlign w:val="center"/>
        </w:tcPr>
        <w:p w14:paraId="5A51232C" w14:textId="77777777" w:rsidR="00CB02A2" w:rsidRDefault="00982455" w:rsidP="00653CF1">
          <w:pPr>
            <w:pStyle w:val="Kopfzeile"/>
            <w:rPr>
              <w:szCs w:val="16"/>
            </w:rPr>
          </w:pPr>
          <w:r>
            <w:rPr>
              <w:szCs w:val="16"/>
            </w:rPr>
            <w:t xml:space="preserve">Vorlage für </w:t>
          </w:r>
          <w:r w:rsidR="00CB02A2">
            <w:rPr>
              <w:szCs w:val="16"/>
            </w:rPr>
            <w:t xml:space="preserve">Technische Beschreibung für </w:t>
          </w:r>
        </w:p>
        <w:p w14:paraId="75BF400C" w14:textId="77777777" w:rsidR="00982455" w:rsidRPr="00982455" w:rsidRDefault="00CB02A2" w:rsidP="00653CF1">
          <w:pPr>
            <w:pStyle w:val="Kopfzeile"/>
            <w:rPr>
              <w:szCs w:val="16"/>
            </w:rPr>
          </w:pPr>
          <w:r>
            <w:rPr>
              <w:szCs w:val="16"/>
            </w:rPr>
            <w:t>Ammoniak-Wärmepumpe</w:t>
          </w:r>
        </w:p>
        <w:p w14:paraId="4509103C" w14:textId="77777777" w:rsidR="00982455" w:rsidRDefault="00982455" w:rsidP="00653CF1">
          <w:pPr>
            <w:pStyle w:val="Kopfzeile"/>
            <w:rPr>
              <w:szCs w:val="16"/>
            </w:rPr>
          </w:pPr>
          <w:r w:rsidRPr="00982455">
            <w:rPr>
              <w:szCs w:val="16"/>
            </w:rPr>
            <w:t xml:space="preserve">Version: </w:t>
          </w:r>
          <w:r>
            <w:rPr>
              <w:szCs w:val="16"/>
            </w:rPr>
            <w:t>V0001</w:t>
          </w:r>
        </w:p>
        <w:p w14:paraId="07C09BA7" w14:textId="77777777" w:rsidR="00982455" w:rsidRDefault="00653CF1" w:rsidP="00653CF1">
          <w:pPr>
            <w:pStyle w:val="Kopfzeile"/>
            <w:rPr>
              <w:sz w:val="16"/>
              <w:szCs w:val="16"/>
            </w:rPr>
          </w:pPr>
          <w:r>
            <w:rPr>
              <w:szCs w:val="16"/>
            </w:rPr>
            <w:t>Stand</w:t>
          </w:r>
          <w:r w:rsidR="00982455">
            <w:rPr>
              <w:szCs w:val="16"/>
            </w:rPr>
            <w:t>: 07/2023</w:t>
          </w:r>
        </w:p>
      </w:tc>
      <w:tc>
        <w:tcPr>
          <w:tcW w:w="1129" w:type="dxa"/>
          <w:vAlign w:val="center"/>
        </w:tcPr>
        <w:p w14:paraId="031FFE95" w14:textId="77777777" w:rsidR="00982455" w:rsidRDefault="00982455" w:rsidP="00653CF1">
          <w:pPr>
            <w:pStyle w:val="Kopfzeile"/>
            <w:jc w:val="right"/>
            <w:rPr>
              <w:sz w:val="16"/>
              <w:szCs w:val="16"/>
            </w:rPr>
          </w:pPr>
          <w:r>
            <w:rPr>
              <w:noProof/>
              <w:lang w:val="de-AT" w:eastAsia="de-AT"/>
            </w:rPr>
            <w:drawing>
              <wp:inline distT="0" distB="0" distL="0" distR="0" wp14:anchorId="0D3ACC1B" wp14:editId="23B4E567">
                <wp:extent cx="540000" cy="540000"/>
                <wp:effectExtent l="0" t="0" r="0" b="0"/>
                <wp:docPr id="5" name="Grafik 5" descr="Bildmarken der Amtssignatur |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marken der Amtssignatur | Land Tir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3F8EB958" w14:textId="77777777" w:rsidR="00982455" w:rsidRPr="00982455" w:rsidRDefault="00982455">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9C8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A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AF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CA6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DE4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814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582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BC6C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E5ED7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52B85"/>
    <w:multiLevelType w:val="hybridMultilevel"/>
    <w:tmpl w:val="B14075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FC770BC"/>
    <w:multiLevelType w:val="hybridMultilevel"/>
    <w:tmpl w:val="5EB247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136B19BB"/>
    <w:multiLevelType w:val="hybridMultilevel"/>
    <w:tmpl w:val="C6A8B6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44D772F"/>
    <w:multiLevelType w:val="hybridMultilevel"/>
    <w:tmpl w:val="2F5AE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3A2F20"/>
    <w:multiLevelType w:val="hybridMultilevel"/>
    <w:tmpl w:val="114E4C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E4F3813"/>
    <w:multiLevelType w:val="hybridMultilevel"/>
    <w:tmpl w:val="BCEC50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01E2956"/>
    <w:multiLevelType w:val="hybridMultilevel"/>
    <w:tmpl w:val="7FAC7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0B95413"/>
    <w:multiLevelType w:val="multilevel"/>
    <w:tmpl w:val="83DE58CE"/>
    <w:styleLink w:val="ListeLandTirol"/>
    <w:lvl w:ilvl="0">
      <w:start w:val="1"/>
      <w:numFmt w:val="bullet"/>
      <w:suff w:val="space"/>
      <w:lvlText w:val=""/>
      <w:lvlJc w:val="left"/>
      <w:pPr>
        <w:ind w:left="454" w:hanging="227"/>
      </w:pPr>
      <w:rPr>
        <w:rFonts w:ascii="Wingdings" w:hAnsi="Wingdings" w:hint="default"/>
      </w:rPr>
    </w:lvl>
    <w:lvl w:ilvl="1">
      <w:start w:val="1"/>
      <w:numFmt w:val="bullet"/>
      <w:suff w:val="space"/>
      <w:lvlText w:val=""/>
      <w:lvlJc w:val="left"/>
      <w:pPr>
        <w:ind w:left="681" w:hanging="227"/>
      </w:pPr>
      <w:rPr>
        <w:rFonts w:ascii="Wingdings" w:hAnsi="Wingdings" w:hint="default"/>
      </w:rPr>
    </w:lvl>
    <w:lvl w:ilvl="2">
      <w:start w:val="1"/>
      <w:numFmt w:val="bullet"/>
      <w:suff w:val="space"/>
      <w:lvlText w:val=""/>
      <w:lvlJc w:val="left"/>
      <w:pPr>
        <w:ind w:left="908" w:hanging="227"/>
      </w:pPr>
      <w:rPr>
        <w:rFonts w:ascii="Wingdings" w:hAnsi="Wingdings" w:hint="default"/>
      </w:rPr>
    </w:lvl>
    <w:lvl w:ilvl="3">
      <w:start w:val="1"/>
      <w:numFmt w:val="bullet"/>
      <w:suff w:val="space"/>
      <w:lvlText w:val=""/>
      <w:lvlJc w:val="left"/>
      <w:pPr>
        <w:ind w:left="1135" w:hanging="227"/>
      </w:pPr>
      <w:rPr>
        <w:rFonts w:ascii="Wingdings" w:hAnsi="Wingdings" w:hint="default"/>
      </w:rPr>
    </w:lvl>
    <w:lvl w:ilvl="4">
      <w:start w:val="1"/>
      <w:numFmt w:val="bullet"/>
      <w:suff w:val="space"/>
      <w:lvlText w:val=""/>
      <w:lvlJc w:val="left"/>
      <w:pPr>
        <w:ind w:left="1362" w:hanging="227"/>
      </w:pPr>
      <w:rPr>
        <w:rFonts w:ascii="Wingdings" w:hAnsi="Wingdings" w:hint="default"/>
      </w:rPr>
    </w:lvl>
    <w:lvl w:ilvl="5">
      <w:start w:val="1"/>
      <w:numFmt w:val="bullet"/>
      <w:suff w:val="space"/>
      <w:lvlText w:val=""/>
      <w:lvlJc w:val="left"/>
      <w:pPr>
        <w:ind w:left="1589" w:hanging="227"/>
      </w:pPr>
      <w:rPr>
        <w:rFonts w:ascii="Wingdings" w:hAnsi="Wingdings" w:hint="default"/>
      </w:rPr>
    </w:lvl>
    <w:lvl w:ilvl="6">
      <w:start w:val="1"/>
      <w:numFmt w:val="bullet"/>
      <w:suff w:val="space"/>
      <w:lvlText w:val=""/>
      <w:lvlJc w:val="left"/>
      <w:pPr>
        <w:ind w:left="1816" w:hanging="227"/>
      </w:pPr>
      <w:rPr>
        <w:rFonts w:ascii="Wingdings" w:hAnsi="Wingdings" w:hint="default"/>
      </w:rPr>
    </w:lvl>
    <w:lvl w:ilvl="7">
      <w:start w:val="1"/>
      <w:numFmt w:val="bullet"/>
      <w:suff w:val="space"/>
      <w:lvlText w:val=""/>
      <w:lvlJc w:val="left"/>
      <w:pPr>
        <w:ind w:left="2043" w:hanging="227"/>
      </w:pPr>
      <w:rPr>
        <w:rFonts w:ascii="Wingdings" w:hAnsi="Wingdings" w:hint="default"/>
      </w:rPr>
    </w:lvl>
    <w:lvl w:ilvl="8">
      <w:start w:val="1"/>
      <w:numFmt w:val="bullet"/>
      <w:suff w:val="space"/>
      <w:lvlText w:val=""/>
      <w:lvlJc w:val="left"/>
      <w:pPr>
        <w:ind w:left="2270" w:hanging="227"/>
      </w:pPr>
      <w:rPr>
        <w:rFonts w:ascii="Wingdings" w:hAnsi="Wingdings" w:hint="default"/>
      </w:rPr>
    </w:lvl>
  </w:abstractNum>
  <w:abstractNum w:abstractNumId="19" w15:restartNumberingAfterBreak="0">
    <w:nsid w:val="34CE0288"/>
    <w:multiLevelType w:val="hybridMultilevel"/>
    <w:tmpl w:val="6930C8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C717782"/>
    <w:multiLevelType w:val="multilevel"/>
    <w:tmpl w:val="CCEE6C94"/>
    <w:lvl w:ilvl="0">
      <w:start w:val="1"/>
      <w:numFmt w:val="bullet"/>
      <w:pStyle w:val="Listenabsatz"/>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21" w15:restartNumberingAfterBreak="0">
    <w:nsid w:val="3F42773E"/>
    <w:multiLevelType w:val="hybridMultilevel"/>
    <w:tmpl w:val="310A9C9A"/>
    <w:lvl w:ilvl="0" w:tplc="A41A2D70">
      <w:start w:val="1"/>
      <w:numFmt w:val="decimal"/>
      <w:pStyle w:val="Formatvorlageberschrift110PtZeilenabstandGenau15Pt"/>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A14F07"/>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636C7613"/>
    <w:multiLevelType w:val="hybridMultilevel"/>
    <w:tmpl w:val="0D26C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8"/>
  </w:num>
  <w:num w:numId="4">
    <w:abstractNumId w:val="20"/>
  </w:num>
  <w:num w:numId="5">
    <w:abstractNumId w:val="8"/>
  </w:num>
  <w:num w:numId="6">
    <w:abstractNumId w:val="14"/>
  </w:num>
  <w:num w:numId="7">
    <w:abstractNumId w:val="22"/>
  </w:num>
  <w:num w:numId="8">
    <w:abstractNumId w:val="18"/>
  </w:num>
  <w:num w:numId="9">
    <w:abstractNumId w:val="20"/>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23"/>
  </w:num>
  <w:num w:numId="22">
    <w:abstractNumId w:val="17"/>
  </w:num>
  <w:num w:numId="23">
    <w:abstractNumId w:val="10"/>
  </w:num>
  <w:num w:numId="24">
    <w:abstractNumId w:val="11"/>
  </w:num>
  <w:num w:numId="25">
    <w:abstractNumId w:val="15"/>
  </w:num>
  <w:num w:numId="26">
    <w:abstractNumId w:val="24"/>
  </w:num>
  <w:num w:numId="27">
    <w:abstractNumId w:val="13"/>
  </w:num>
  <w:num w:numId="28">
    <w:abstractNumId w:val="16"/>
  </w:num>
  <w:num w:numId="29">
    <w:abstractNumId w:val="19"/>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55"/>
    <w:rsid w:val="00011F29"/>
    <w:rsid w:val="00014097"/>
    <w:rsid w:val="00015446"/>
    <w:rsid w:val="00046DB0"/>
    <w:rsid w:val="00052E31"/>
    <w:rsid w:val="00056EEF"/>
    <w:rsid w:val="0006177D"/>
    <w:rsid w:val="00067258"/>
    <w:rsid w:val="000711F0"/>
    <w:rsid w:val="000A598D"/>
    <w:rsid w:val="000A7FCC"/>
    <w:rsid w:val="000B6AB5"/>
    <w:rsid w:val="000C19BA"/>
    <w:rsid w:val="000C7341"/>
    <w:rsid w:val="000E383F"/>
    <w:rsid w:val="001036FC"/>
    <w:rsid w:val="00104563"/>
    <w:rsid w:val="0010694E"/>
    <w:rsid w:val="00110890"/>
    <w:rsid w:val="00110CA6"/>
    <w:rsid w:val="00112E33"/>
    <w:rsid w:val="00121767"/>
    <w:rsid w:val="00136210"/>
    <w:rsid w:val="00137B33"/>
    <w:rsid w:val="001467A9"/>
    <w:rsid w:val="00171D21"/>
    <w:rsid w:val="00182364"/>
    <w:rsid w:val="001973C0"/>
    <w:rsid w:val="001A0F95"/>
    <w:rsid w:val="001C037B"/>
    <w:rsid w:val="001C3781"/>
    <w:rsid w:val="001D12CE"/>
    <w:rsid w:val="001E3FC9"/>
    <w:rsid w:val="001F1110"/>
    <w:rsid w:val="001F3DA8"/>
    <w:rsid w:val="001F4C6E"/>
    <w:rsid w:val="001F6C54"/>
    <w:rsid w:val="00201E27"/>
    <w:rsid w:val="00205B43"/>
    <w:rsid w:val="0020793B"/>
    <w:rsid w:val="00211D1D"/>
    <w:rsid w:val="00215EC3"/>
    <w:rsid w:val="002178C3"/>
    <w:rsid w:val="002233AB"/>
    <w:rsid w:val="002270BF"/>
    <w:rsid w:val="00240D14"/>
    <w:rsid w:val="002420C5"/>
    <w:rsid w:val="002466EF"/>
    <w:rsid w:val="002509D6"/>
    <w:rsid w:val="0025581E"/>
    <w:rsid w:val="00267B9F"/>
    <w:rsid w:val="0027791A"/>
    <w:rsid w:val="002816F0"/>
    <w:rsid w:val="00296A4C"/>
    <w:rsid w:val="002E1C51"/>
    <w:rsid w:val="002F256E"/>
    <w:rsid w:val="002F3FAC"/>
    <w:rsid w:val="002F49B2"/>
    <w:rsid w:val="003102A7"/>
    <w:rsid w:val="003140CC"/>
    <w:rsid w:val="00333BE8"/>
    <w:rsid w:val="003370C1"/>
    <w:rsid w:val="0034493F"/>
    <w:rsid w:val="00346970"/>
    <w:rsid w:val="00375DAE"/>
    <w:rsid w:val="00383CF5"/>
    <w:rsid w:val="00384036"/>
    <w:rsid w:val="003935FF"/>
    <w:rsid w:val="003A694F"/>
    <w:rsid w:val="003E0DA6"/>
    <w:rsid w:val="003E3422"/>
    <w:rsid w:val="003F1AD4"/>
    <w:rsid w:val="003F2C34"/>
    <w:rsid w:val="00421EC0"/>
    <w:rsid w:val="00456760"/>
    <w:rsid w:val="00462F44"/>
    <w:rsid w:val="00465B02"/>
    <w:rsid w:val="00467A38"/>
    <w:rsid w:val="004925A5"/>
    <w:rsid w:val="004934DD"/>
    <w:rsid w:val="004C1EF2"/>
    <w:rsid w:val="004D2DA0"/>
    <w:rsid w:val="004D5E3A"/>
    <w:rsid w:val="004F2739"/>
    <w:rsid w:val="005034A4"/>
    <w:rsid w:val="00533478"/>
    <w:rsid w:val="005335D0"/>
    <w:rsid w:val="005506B6"/>
    <w:rsid w:val="00550D5A"/>
    <w:rsid w:val="00595A1F"/>
    <w:rsid w:val="005A6CCF"/>
    <w:rsid w:val="005A7A5A"/>
    <w:rsid w:val="005C6636"/>
    <w:rsid w:val="005D1E53"/>
    <w:rsid w:val="005D2FAE"/>
    <w:rsid w:val="005D7D89"/>
    <w:rsid w:val="006102CD"/>
    <w:rsid w:val="006201F4"/>
    <w:rsid w:val="00636A43"/>
    <w:rsid w:val="0064107C"/>
    <w:rsid w:val="00645113"/>
    <w:rsid w:val="00647396"/>
    <w:rsid w:val="006475A8"/>
    <w:rsid w:val="00653CF1"/>
    <w:rsid w:val="006550CE"/>
    <w:rsid w:val="00660063"/>
    <w:rsid w:val="006601A7"/>
    <w:rsid w:val="0066199B"/>
    <w:rsid w:val="00677C98"/>
    <w:rsid w:val="0068249D"/>
    <w:rsid w:val="00693B7A"/>
    <w:rsid w:val="0069497E"/>
    <w:rsid w:val="00695AF3"/>
    <w:rsid w:val="006A72BC"/>
    <w:rsid w:val="006C2AE2"/>
    <w:rsid w:val="006D2C65"/>
    <w:rsid w:val="00711AF5"/>
    <w:rsid w:val="00720CE5"/>
    <w:rsid w:val="00725322"/>
    <w:rsid w:val="0074460F"/>
    <w:rsid w:val="00746B14"/>
    <w:rsid w:val="007474CD"/>
    <w:rsid w:val="00755CD9"/>
    <w:rsid w:val="007817EE"/>
    <w:rsid w:val="007828F1"/>
    <w:rsid w:val="00791A41"/>
    <w:rsid w:val="00792448"/>
    <w:rsid w:val="00796242"/>
    <w:rsid w:val="007A35E3"/>
    <w:rsid w:val="007B0DB8"/>
    <w:rsid w:val="007C426B"/>
    <w:rsid w:val="007D3023"/>
    <w:rsid w:val="007D7B60"/>
    <w:rsid w:val="00801833"/>
    <w:rsid w:val="00811CC2"/>
    <w:rsid w:val="0082113F"/>
    <w:rsid w:val="0082138B"/>
    <w:rsid w:val="00834875"/>
    <w:rsid w:val="00837F56"/>
    <w:rsid w:val="00852B23"/>
    <w:rsid w:val="0086562F"/>
    <w:rsid w:val="008705F2"/>
    <w:rsid w:val="008735F8"/>
    <w:rsid w:val="0087695B"/>
    <w:rsid w:val="0088474A"/>
    <w:rsid w:val="008922CF"/>
    <w:rsid w:val="008B1F3C"/>
    <w:rsid w:val="008C6F59"/>
    <w:rsid w:val="008E65A8"/>
    <w:rsid w:val="008F0DA4"/>
    <w:rsid w:val="00902C50"/>
    <w:rsid w:val="00911747"/>
    <w:rsid w:val="00916EDF"/>
    <w:rsid w:val="00921517"/>
    <w:rsid w:val="00921D6A"/>
    <w:rsid w:val="00932604"/>
    <w:rsid w:val="00941630"/>
    <w:rsid w:val="00951607"/>
    <w:rsid w:val="009800C1"/>
    <w:rsid w:val="00982053"/>
    <w:rsid w:val="00982455"/>
    <w:rsid w:val="009915D5"/>
    <w:rsid w:val="00997102"/>
    <w:rsid w:val="009B4A13"/>
    <w:rsid w:val="009C34E5"/>
    <w:rsid w:val="009C4A3B"/>
    <w:rsid w:val="009C4DEF"/>
    <w:rsid w:val="009E3B4E"/>
    <w:rsid w:val="009F470E"/>
    <w:rsid w:val="00A1493F"/>
    <w:rsid w:val="00A3661B"/>
    <w:rsid w:val="00A461EF"/>
    <w:rsid w:val="00A5320C"/>
    <w:rsid w:val="00A57E64"/>
    <w:rsid w:val="00A60733"/>
    <w:rsid w:val="00A7247A"/>
    <w:rsid w:val="00A86404"/>
    <w:rsid w:val="00AB5C47"/>
    <w:rsid w:val="00AC2DF6"/>
    <w:rsid w:val="00AD1262"/>
    <w:rsid w:val="00AF1274"/>
    <w:rsid w:val="00B00C0A"/>
    <w:rsid w:val="00B00C39"/>
    <w:rsid w:val="00B00E47"/>
    <w:rsid w:val="00B10883"/>
    <w:rsid w:val="00B11BFF"/>
    <w:rsid w:val="00B5259F"/>
    <w:rsid w:val="00B64E4E"/>
    <w:rsid w:val="00B66826"/>
    <w:rsid w:val="00B66917"/>
    <w:rsid w:val="00B74BC5"/>
    <w:rsid w:val="00B7779E"/>
    <w:rsid w:val="00B77E0D"/>
    <w:rsid w:val="00B8441F"/>
    <w:rsid w:val="00B85FDD"/>
    <w:rsid w:val="00BB2C9F"/>
    <w:rsid w:val="00BC246A"/>
    <w:rsid w:val="00BC2D95"/>
    <w:rsid w:val="00BC3898"/>
    <w:rsid w:val="00BC5F1C"/>
    <w:rsid w:val="00BD4736"/>
    <w:rsid w:val="00BD4782"/>
    <w:rsid w:val="00BE0124"/>
    <w:rsid w:val="00BF2D6A"/>
    <w:rsid w:val="00C07C75"/>
    <w:rsid w:val="00C16706"/>
    <w:rsid w:val="00C25316"/>
    <w:rsid w:val="00C2594D"/>
    <w:rsid w:val="00C40191"/>
    <w:rsid w:val="00C54D9C"/>
    <w:rsid w:val="00C63F84"/>
    <w:rsid w:val="00C8410F"/>
    <w:rsid w:val="00C855B1"/>
    <w:rsid w:val="00CB02A2"/>
    <w:rsid w:val="00CB635C"/>
    <w:rsid w:val="00CB746E"/>
    <w:rsid w:val="00CD06DE"/>
    <w:rsid w:val="00CD1290"/>
    <w:rsid w:val="00CD3352"/>
    <w:rsid w:val="00CD48BC"/>
    <w:rsid w:val="00CE03D7"/>
    <w:rsid w:val="00CE22D3"/>
    <w:rsid w:val="00CE5F4A"/>
    <w:rsid w:val="00D10D2E"/>
    <w:rsid w:val="00D172B8"/>
    <w:rsid w:val="00D236E1"/>
    <w:rsid w:val="00D25F4B"/>
    <w:rsid w:val="00D33310"/>
    <w:rsid w:val="00D458EC"/>
    <w:rsid w:val="00D45F90"/>
    <w:rsid w:val="00D50526"/>
    <w:rsid w:val="00D63918"/>
    <w:rsid w:val="00D65C47"/>
    <w:rsid w:val="00D722F7"/>
    <w:rsid w:val="00D87843"/>
    <w:rsid w:val="00DA763D"/>
    <w:rsid w:val="00DB0350"/>
    <w:rsid w:val="00DB3589"/>
    <w:rsid w:val="00DC6DBF"/>
    <w:rsid w:val="00DD2140"/>
    <w:rsid w:val="00DE6006"/>
    <w:rsid w:val="00DE7F63"/>
    <w:rsid w:val="00E17001"/>
    <w:rsid w:val="00E30A66"/>
    <w:rsid w:val="00E351E7"/>
    <w:rsid w:val="00E37A2A"/>
    <w:rsid w:val="00E43151"/>
    <w:rsid w:val="00E44D63"/>
    <w:rsid w:val="00E47F86"/>
    <w:rsid w:val="00E57F9F"/>
    <w:rsid w:val="00E61CE8"/>
    <w:rsid w:val="00E760B1"/>
    <w:rsid w:val="00E819AC"/>
    <w:rsid w:val="00E847C5"/>
    <w:rsid w:val="00E910B0"/>
    <w:rsid w:val="00EA1871"/>
    <w:rsid w:val="00EA750C"/>
    <w:rsid w:val="00EA78E2"/>
    <w:rsid w:val="00EB3C57"/>
    <w:rsid w:val="00EB7BEB"/>
    <w:rsid w:val="00EC15D2"/>
    <w:rsid w:val="00EC4503"/>
    <w:rsid w:val="00ED0887"/>
    <w:rsid w:val="00ED3328"/>
    <w:rsid w:val="00ED40C7"/>
    <w:rsid w:val="00ED43F5"/>
    <w:rsid w:val="00EE0D94"/>
    <w:rsid w:val="00EE6917"/>
    <w:rsid w:val="00EE7C9A"/>
    <w:rsid w:val="00EF254D"/>
    <w:rsid w:val="00EF4308"/>
    <w:rsid w:val="00EF7490"/>
    <w:rsid w:val="00F22767"/>
    <w:rsid w:val="00F30AAC"/>
    <w:rsid w:val="00F35590"/>
    <w:rsid w:val="00F412EF"/>
    <w:rsid w:val="00F57939"/>
    <w:rsid w:val="00F7023C"/>
    <w:rsid w:val="00F8407F"/>
    <w:rsid w:val="00F93FCA"/>
    <w:rsid w:val="00F9429B"/>
    <w:rsid w:val="00FB1779"/>
    <w:rsid w:val="00FB7177"/>
    <w:rsid w:val="00FC4857"/>
    <w:rsid w:val="00FD0413"/>
    <w:rsid w:val="00FD137C"/>
    <w:rsid w:val="00FD3084"/>
    <w:rsid w:val="00FD3C36"/>
    <w:rsid w:val="00FE3822"/>
    <w:rsid w:val="00FE6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5FDBF4"/>
  <w15:chartTrackingRefBased/>
  <w15:docId w15:val="{8134DE23-8124-447C-B06F-FE25BBDA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DEF"/>
    <w:pPr>
      <w:spacing w:line="260" w:lineRule="atLeast"/>
    </w:pPr>
    <w:rPr>
      <w:rFonts w:ascii="Arial" w:hAnsi="Arial"/>
      <w:sz w:val="20"/>
    </w:rPr>
  </w:style>
  <w:style w:type="paragraph" w:styleId="berschrift1">
    <w:name w:val="heading 1"/>
    <w:basedOn w:val="Standard"/>
    <w:next w:val="Standard"/>
    <w:link w:val="berschrift1Zchn"/>
    <w:uiPriority w:val="9"/>
    <w:qFormat/>
    <w:rsid w:val="00982455"/>
    <w:pPr>
      <w:keepNext/>
      <w:keepLines/>
      <w:numPr>
        <w:numId w:val="21"/>
      </w:numPr>
      <w:spacing w:line="480" w:lineRule="exact"/>
      <w:contextualSpacing/>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982455"/>
    <w:pPr>
      <w:keepNext/>
      <w:keepLines/>
      <w:numPr>
        <w:ilvl w:val="1"/>
        <w:numId w:val="21"/>
      </w:numPr>
      <w:spacing w:line="340" w:lineRule="exact"/>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6C2AE2"/>
    <w:pPr>
      <w:keepNext/>
      <w:keepLines/>
      <w:numPr>
        <w:ilvl w:val="2"/>
        <w:numId w:val="21"/>
      </w:numPr>
      <w:spacing w:line="340" w:lineRule="exact"/>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982455"/>
    <w:pPr>
      <w:keepNext/>
      <w:keepLines/>
      <w:numPr>
        <w:ilvl w:val="3"/>
        <w:numId w:val="21"/>
      </w:numPr>
      <w:outlineLvl w:val="3"/>
    </w:pPr>
    <w:rPr>
      <w:rFonts w:eastAsiaTheme="majorEastAsia" w:cstheme="majorBidi"/>
      <w:iCs/>
    </w:rPr>
  </w:style>
  <w:style w:type="paragraph" w:styleId="berschrift5">
    <w:name w:val="heading 5"/>
    <w:basedOn w:val="Standard"/>
    <w:next w:val="Standard"/>
    <w:link w:val="berschrift5Zchn"/>
    <w:uiPriority w:val="9"/>
    <w:semiHidden/>
    <w:unhideWhenUsed/>
    <w:qFormat/>
    <w:rsid w:val="00982455"/>
    <w:pPr>
      <w:keepNext/>
      <w:keepLines/>
      <w:numPr>
        <w:ilvl w:val="4"/>
        <w:numId w:val="21"/>
      </w:numPr>
      <w:spacing w:before="40" w:after="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982455"/>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82455"/>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82455"/>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82455"/>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3B7A"/>
    <w:rPr>
      <w:rFonts w:ascii="Arial" w:hAnsi="Arial"/>
      <w:sz w:val="20"/>
    </w:rPr>
  </w:style>
  <w:style w:type="paragraph" w:styleId="Fuzeile">
    <w:name w:val="footer"/>
    <w:basedOn w:val="Standard"/>
    <w:link w:val="FuzeileZchn"/>
    <w:uiPriority w:val="99"/>
    <w:unhideWhenUsed/>
    <w:rsid w:val="00693B7A"/>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693B7A"/>
    <w:rPr>
      <w:rFonts w:ascii="Arial" w:hAnsi="Arial"/>
      <w:sz w:val="20"/>
    </w:rPr>
  </w:style>
  <w:style w:type="character" w:styleId="Hyperlink">
    <w:name w:val="Hyperlink"/>
    <w:basedOn w:val="Absatz-Standardschriftart"/>
    <w:uiPriority w:val="99"/>
    <w:unhideWhenUsed/>
    <w:rsid w:val="00693B7A"/>
    <w:rPr>
      <w:color w:val="0563C1" w:themeColor="hyperlink"/>
      <w:u w:val="single"/>
    </w:rPr>
  </w:style>
  <w:style w:type="character" w:customStyle="1" w:styleId="UnresolvedMention">
    <w:name w:val="Unresolved Mention"/>
    <w:basedOn w:val="Absatz-Standardschriftart"/>
    <w:uiPriority w:val="99"/>
    <w:semiHidden/>
    <w:unhideWhenUsed/>
    <w:rsid w:val="00693B7A"/>
    <w:rPr>
      <w:color w:val="605E5C"/>
      <w:shd w:val="clear" w:color="auto" w:fill="E1DFDD"/>
    </w:rPr>
  </w:style>
  <w:style w:type="character" w:customStyle="1" w:styleId="BriefkopfOrganisationseinheit">
    <w:name w:val="Briefkopf_Organisationseinheit"/>
    <w:basedOn w:val="Absatz-Standardschriftart"/>
    <w:uiPriority w:val="99"/>
    <w:semiHidden/>
    <w:qFormat/>
    <w:rsid w:val="00693B7A"/>
    <w:rPr>
      <w:b/>
    </w:rPr>
  </w:style>
  <w:style w:type="paragraph" w:customStyle="1" w:styleId="BriefkopfRcksendezeile">
    <w:name w:val="Briefkopf_Rücksendezeile"/>
    <w:basedOn w:val="Standard"/>
    <w:uiPriority w:val="99"/>
    <w:semiHidden/>
    <w:qFormat/>
    <w:rsid w:val="00693B7A"/>
    <w:pPr>
      <w:spacing w:line="240" w:lineRule="auto"/>
    </w:pPr>
    <w:rPr>
      <w:color w:val="7F7F7F" w:themeColor="text1" w:themeTint="80"/>
      <w:sz w:val="12"/>
    </w:rPr>
  </w:style>
  <w:style w:type="character" w:customStyle="1" w:styleId="berschrift1Zchn">
    <w:name w:val="Überschrift 1 Zchn"/>
    <w:basedOn w:val="Absatz-Standardschriftart"/>
    <w:link w:val="berschrift1"/>
    <w:uiPriority w:val="9"/>
    <w:rsid w:val="00982455"/>
    <w:rPr>
      <w:rFonts w:ascii="Arial" w:eastAsiaTheme="majorEastAsia" w:hAnsi="Arial" w:cstheme="majorBidi"/>
      <w:b/>
      <w:sz w:val="24"/>
      <w:szCs w:val="32"/>
    </w:rPr>
  </w:style>
  <w:style w:type="paragraph" w:customStyle="1" w:styleId="BriefkopfGZ">
    <w:name w:val="Briefkopf_GZ"/>
    <w:basedOn w:val="Standard"/>
    <w:link w:val="BriefkopfGZZchn"/>
    <w:uiPriority w:val="99"/>
    <w:semiHidden/>
    <w:qFormat/>
    <w:rsid w:val="00693B7A"/>
    <w:pPr>
      <w:spacing w:after="0"/>
    </w:pPr>
  </w:style>
  <w:style w:type="character" w:customStyle="1" w:styleId="berschrift2Zchn">
    <w:name w:val="Überschrift 2 Zchn"/>
    <w:basedOn w:val="Absatz-Standardschriftart"/>
    <w:link w:val="berschrift2"/>
    <w:uiPriority w:val="9"/>
    <w:rsid w:val="00982455"/>
    <w:rPr>
      <w:rFonts w:ascii="Arial" w:eastAsiaTheme="majorEastAsia" w:hAnsi="Arial" w:cstheme="majorBidi"/>
      <w:b/>
      <w:sz w:val="20"/>
      <w:szCs w:val="26"/>
    </w:rPr>
  </w:style>
  <w:style w:type="paragraph" w:customStyle="1" w:styleId="BriefkopfAmt">
    <w:name w:val="Briefkopf_Amt"/>
    <w:basedOn w:val="Standard"/>
    <w:link w:val="BriefkopfAmtZchn"/>
    <w:uiPriority w:val="99"/>
    <w:semiHidden/>
    <w:qFormat/>
    <w:rsid w:val="00693B7A"/>
    <w:pPr>
      <w:spacing w:after="0"/>
    </w:pPr>
  </w:style>
  <w:style w:type="paragraph" w:customStyle="1" w:styleId="BriefkopfSachbearbeiter">
    <w:name w:val="Briefkopf_Sachbearbeiter"/>
    <w:link w:val="BriefkopfSachbearbeiterZchn"/>
    <w:uiPriority w:val="99"/>
    <w:semiHidden/>
    <w:qFormat/>
    <w:rsid w:val="00693B7A"/>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693B7A"/>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693B7A"/>
    <w:rPr>
      <w:rFonts w:ascii="Arial" w:hAnsi="Arial"/>
      <w:sz w:val="20"/>
    </w:rPr>
  </w:style>
  <w:style w:type="paragraph" w:customStyle="1" w:styleId="BriefkopfInformationen">
    <w:name w:val="Briefkopf_Informationen"/>
    <w:basedOn w:val="BriefkopfSachbearbeiter"/>
    <w:link w:val="BriefkopfInformationenZchn"/>
    <w:uiPriority w:val="99"/>
    <w:semiHidden/>
    <w:qFormat/>
    <w:rsid w:val="00F9429B"/>
    <w:pPr>
      <w:spacing w:line="200" w:lineRule="exact"/>
    </w:pPr>
    <w:rPr>
      <w:color w:val="7F7F7F" w:themeColor="text1" w:themeTint="80"/>
      <w:sz w:val="16"/>
    </w:rPr>
  </w:style>
  <w:style w:type="character" w:customStyle="1" w:styleId="BriefkopfGZZchn">
    <w:name w:val="Briefkopf_GZ Zchn"/>
    <w:basedOn w:val="Absatz-Standardschriftart"/>
    <w:link w:val="BriefkopfGZ"/>
    <w:uiPriority w:val="99"/>
    <w:semiHidden/>
    <w:rsid w:val="00693B7A"/>
    <w:rPr>
      <w:rFonts w:ascii="Arial" w:hAnsi="Arial"/>
      <w:sz w:val="20"/>
    </w:rPr>
  </w:style>
  <w:style w:type="numbering" w:customStyle="1" w:styleId="ListeLandTirol">
    <w:name w:val="Liste Land Tirol"/>
    <w:basedOn w:val="KeineListe"/>
    <w:uiPriority w:val="99"/>
    <w:rsid w:val="00693B7A"/>
    <w:pPr>
      <w:numPr>
        <w:numId w:val="3"/>
      </w:numPr>
    </w:pPr>
  </w:style>
  <w:style w:type="character" w:customStyle="1" w:styleId="BriefkopfInformationenZchn">
    <w:name w:val="Briefkopf_Informationen Zchn"/>
    <w:basedOn w:val="BriefkopfSachbearbeiterZchn"/>
    <w:link w:val="BriefkopfInformationen"/>
    <w:uiPriority w:val="99"/>
    <w:semiHidden/>
    <w:rsid w:val="00D63918"/>
    <w:rPr>
      <w:rFonts w:ascii="Arial" w:hAnsi="Arial"/>
      <w:color w:val="7F7F7F" w:themeColor="text1" w:themeTint="80"/>
      <w:sz w:val="16"/>
    </w:rPr>
  </w:style>
  <w:style w:type="character" w:customStyle="1" w:styleId="berschrift3Zchn">
    <w:name w:val="Überschrift 3 Zchn"/>
    <w:basedOn w:val="Absatz-Standardschriftart"/>
    <w:link w:val="berschrift3"/>
    <w:uiPriority w:val="9"/>
    <w:rsid w:val="006C2AE2"/>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982455"/>
    <w:rPr>
      <w:rFonts w:ascii="Arial" w:eastAsiaTheme="majorEastAsia" w:hAnsi="Arial" w:cstheme="majorBidi"/>
      <w:iCs/>
      <w:sz w:val="20"/>
    </w:rPr>
  </w:style>
  <w:style w:type="paragraph" w:styleId="Listenabsatz">
    <w:name w:val="List Paragraph"/>
    <w:basedOn w:val="Standard"/>
    <w:uiPriority w:val="34"/>
    <w:qFormat/>
    <w:rsid w:val="00693B7A"/>
    <w:pPr>
      <w:numPr>
        <w:numId w:val="9"/>
      </w:numPr>
      <w:contextualSpacing/>
    </w:pPr>
  </w:style>
  <w:style w:type="table" w:styleId="Tabellenraster">
    <w:name w:val="Table Grid"/>
    <w:basedOn w:val="NormaleTabelle"/>
    <w:uiPriority w:val="39"/>
    <w:rsid w:val="0069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693B7A"/>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693B7A"/>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693B7A"/>
    <w:rPr>
      <w:rFonts w:eastAsiaTheme="minorEastAsia" w:cs="Times New Roman"/>
      <w:sz w:val="20"/>
      <w:szCs w:val="20"/>
      <w:lang w:eastAsia="de-DE"/>
    </w:rPr>
  </w:style>
  <w:style w:type="character" w:styleId="SchwacheHervorhebung">
    <w:name w:val="Subtle Emphasis"/>
    <w:basedOn w:val="Absatz-Standardschriftart"/>
    <w:uiPriority w:val="19"/>
    <w:qFormat/>
    <w:rsid w:val="00693B7A"/>
    <w:rPr>
      <w:i/>
      <w:iCs/>
    </w:rPr>
  </w:style>
  <w:style w:type="table" w:styleId="HelleSchattierung-Akzent1">
    <w:name w:val="Light Shading Accent 1"/>
    <w:basedOn w:val="NormaleTabelle"/>
    <w:uiPriority w:val="60"/>
    <w:rsid w:val="00693B7A"/>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693B7A"/>
    <w:pPr>
      <w:spacing w:after="0"/>
    </w:pPr>
  </w:style>
  <w:style w:type="character" w:customStyle="1" w:styleId="BriefkopfAnschriftZchn">
    <w:name w:val="Briefkopf_Anschrift Zchn"/>
    <w:basedOn w:val="Absatz-Standardschriftart"/>
    <w:link w:val="BriefkopfAnschrift"/>
    <w:uiPriority w:val="99"/>
    <w:semiHidden/>
    <w:rsid w:val="00693B7A"/>
    <w:rPr>
      <w:rFonts w:ascii="Arial" w:hAnsi="Arial"/>
      <w:sz w:val="20"/>
    </w:rPr>
  </w:style>
  <w:style w:type="numbering" w:customStyle="1" w:styleId="Auflistung">
    <w:name w:val="Auflistung"/>
    <w:basedOn w:val="KeineListe"/>
    <w:uiPriority w:val="99"/>
    <w:rsid w:val="00693B7A"/>
    <w:pPr>
      <w:numPr>
        <w:numId w:val="1"/>
      </w:numPr>
    </w:pPr>
  </w:style>
  <w:style w:type="paragraph" w:styleId="Liste">
    <w:name w:val="List"/>
    <w:basedOn w:val="Standard"/>
    <w:uiPriority w:val="99"/>
    <w:unhideWhenUsed/>
    <w:rsid w:val="00693B7A"/>
    <w:pPr>
      <w:ind w:left="283" w:hanging="283"/>
      <w:contextualSpacing/>
    </w:pPr>
  </w:style>
  <w:style w:type="paragraph" w:styleId="Liste2">
    <w:name w:val="List 2"/>
    <w:basedOn w:val="Standard"/>
    <w:uiPriority w:val="99"/>
    <w:unhideWhenUsed/>
    <w:rsid w:val="00693B7A"/>
    <w:pPr>
      <w:ind w:left="566" w:hanging="283"/>
      <w:contextualSpacing/>
    </w:pPr>
  </w:style>
  <w:style w:type="paragraph" w:styleId="Liste3">
    <w:name w:val="List 3"/>
    <w:basedOn w:val="Standard"/>
    <w:uiPriority w:val="99"/>
    <w:unhideWhenUsed/>
    <w:rsid w:val="00693B7A"/>
    <w:pPr>
      <w:ind w:left="849" w:hanging="283"/>
      <w:contextualSpacing/>
    </w:pPr>
  </w:style>
  <w:style w:type="paragraph" w:styleId="Liste4">
    <w:name w:val="List 4"/>
    <w:basedOn w:val="Standard"/>
    <w:uiPriority w:val="99"/>
    <w:unhideWhenUsed/>
    <w:rsid w:val="00693B7A"/>
    <w:pPr>
      <w:ind w:left="1132" w:hanging="283"/>
      <w:contextualSpacing/>
    </w:pPr>
  </w:style>
  <w:style w:type="paragraph" w:styleId="Liste5">
    <w:name w:val="List 5"/>
    <w:basedOn w:val="Standard"/>
    <w:uiPriority w:val="99"/>
    <w:unhideWhenUsed/>
    <w:rsid w:val="00693B7A"/>
    <w:pPr>
      <w:ind w:left="1415" w:hanging="283"/>
      <w:contextualSpacing/>
    </w:pPr>
  </w:style>
  <w:style w:type="paragraph" w:styleId="Listenfortsetzung">
    <w:name w:val="List Continue"/>
    <w:basedOn w:val="Standard"/>
    <w:uiPriority w:val="99"/>
    <w:unhideWhenUsed/>
    <w:rsid w:val="00693B7A"/>
    <w:pPr>
      <w:spacing w:after="120"/>
      <w:ind w:left="283"/>
      <w:contextualSpacing/>
    </w:pPr>
  </w:style>
  <w:style w:type="paragraph" w:styleId="Listenfortsetzung2">
    <w:name w:val="List Continue 2"/>
    <w:basedOn w:val="Standard"/>
    <w:uiPriority w:val="99"/>
    <w:unhideWhenUsed/>
    <w:rsid w:val="00693B7A"/>
    <w:pPr>
      <w:spacing w:after="120"/>
      <w:ind w:left="566"/>
      <w:contextualSpacing/>
    </w:pPr>
  </w:style>
  <w:style w:type="paragraph" w:styleId="Listennummer">
    <w:name w:val="List Number"/>
    <w:basedOn w:val="Standard"/>
    <w:uiPriority w:val="99"/>
    <w:unhideWhenUsed/>
    <w:rsid w:val="00693B7A"/>
    <w:pPr>
      <w:numPr>
        <w:numId w:val="10"/>
      </w:numPr>
      <w:contextualSpacing/>
    </w:pPr>
  </w:style>
  <w:style w:type="numbering" w:customStyle="1" w:styleId="Formatvorlage1">
    <w:name w:val="Formatvorlage1"/>
    <w:basedOn w:val="KeineListe"/>
    <w:uiPriority w:val="99"/>
    <w:rsid w:val="00693B7A"/>
    <w:pPr>
      <w:numPr>
        <w:numId w:val="2"/>
      </w:numPr>
    </w:pPr>
  </w:style>
  <w:style w:type="paragraph" w:styleId="Beschriftung">
    <w:name w:val="caption"/>
    <w:basedOn w:val="Standard"/>
    <w:next w:val="Standard"/>
    <w:uiPriority w:val="35"/>
    <w:unhideWhenUsed/>
    <w:qFormat/>
    <w:rsid w:val="00693B7A"/>
    <w:rPr>
      <w:i/>
      <w:iCs/>
    </w:rPr>
  </w:style>
  <w:style w:type="table" w:styleId="EinfacheTabelle2">
    <w:name w:val="Plain Table 2"/>
    <w:basedOn w:val="NormaleTabelle"/>
    <w:uiPriority w:val="42"/>
    <w:rsid w:val="00693B7A"/>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693B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93B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693B7A"/>
  </w:style>
  <w:style w:type="character" w:customStyle="1" w:styleId="BriefkopfDatumZchn">
    <w:name w:val="Briefkopf_Datum Zchn"/>
    <w:basedOn w:val="BriefkopfGZZchn"/>
    <w:link w:val="BriefkopfDatum"/>
    <w:uiPriority w:val="99"/>
    <w:semiHidden/>
    <w:rsid w:val="00693B7A"/>
    <w:rPr>
      <w:rFonts w:ascii="Arial" w:hAnsi="Arial"/>
      <w:sz w:val="20"/>
    </w:rPr>
  </w:style>
  <w:style w:type="paragraph" w:customStyle="1" w:styleId="BriefkopfAnhangListe">
    <w:name w:val="Briefkopf_AnhangListe"/>
    <w:basedOn w:val="Standard"/>
    <w:uiPriority w:val="99"/>
    <w:semiHidden/>
    <w:rsid w:val="00693B7A"/>
    <w:pPr>
      <w:spacing w:after="20"/>
    </w:pPr>
    <w:rPr>
      <w:rFonts w:eastAsia="Calibri" w:cs="Times New Roman"/>
      <w:lang w:val="de-AT"/>
    </w:rPr>
  </w:style>
  <w:style w:type="paragraph" w:customStyle="1" w:styleId="BriefkopfAnhangberschrift">
    <w:name w:val="Briefkopf_AnhangÜberschrift"/>
    <w:basedOn w:val="Standard"/>
    <w:uiPriority w:val="99"/>
    <w:semiHidden/>
    <w:rsid w:val="00693B7A"/>
    <w:pPr>
      <w:spacing w:after="20"/>
    </w:pPr>
    <w:rPr>
      <w:rFonts w:eastAsia="Calibri" w:cs="Times New Roman"/>
      <w:u w:val="single"/>
      <w:lang w:val="de-AT"/>
    </w:rPr>
  </w:style>
  <w:style w:type="table" w:customStyle="1" w:styleId="TabelleTirol">
    <w:name w:val="Tabelle Tirol"/>
    <w:basedOn w:val="NormaleTabelle"/>
    <w:uiPriority w:val="99"/>
    <w:rsid w:val="00693B7A"/>
    <w:pPr>
      <w:spacing w:after="0" w:line="260" w:lineRule="exact"/>
    </w:pPr>
    <w:rPr>
      <w:rFonts w:ascii="Arial" w:hAnsi="Arial"/>
      <w:sz w:val="20"/>
    </w:rPr>
    <w:tblPr>
      <w:tblStyleRowBandSize w:val="1"/>
      <w:tblStyleColBandSize w:val="1"/>
      <w:tblBorders>
        <w:insideH w:val="single" w:sz="4" w:space="0" w:color="auto"/>
      </w:tblBorders>
    </w:tblPr>
    <w:tblStylePr w:type="firstRow">
      <w:rPr>
        <w:b/>
      </w:rPr>
      <w:tblPr/>
      <w:tcPr>
        <w:shd w:val="clear" w:color="auto" w:fill="D9D9D9" w:themeFill="background1" w:themeFillShade="D9"/>
      </w:tcPr>
    </w:tblStylePr>
    <w:tblStylePr w:type="firstCol">
      <w:rPr>
        <w:b/>
      </w:rPr>
    </w:tblStylePr>
    <w:tblStylePr w:type="lastCol">
      <w:rPr>
        <w:b/>
      </w:rPr>
    </w:tblStylePr>
  </w:style>
  <w:style w:type="paragraph" w:customStyle="1" w:styleId="BriefkopfLayout">
    <w:name w:val="Briefkopf_Layout"/>
    <w:basedOn w:val="Standard"/>
    <w:uiPriority w:val="99"/>
    <w:semiHidden/>
    <w:qFormat/>
    <w:rsid w:val="00693B7A"/>
    <w:pPr>
      <w:spacing w:after="0" w:line="240" w:lineRule="auto"/>
    </w:pPr>
    <w:rPr>
      <w:sz w:val="4"/>
    </w:rPr>
  </w:style>
  <w:style w:type="character" w:customStyle="1" w:styleId="BriefkopfBetreff">
    <w:name w:val="Briefkopf_Betreff"/>
    <w:basedOn w:val="Absatz-Standardschriftart"/>
    <w:uiPriority w:val="99"/>
    <w:semiHidden/>
    <w:rsid w:val="00693B7A"/>
    <w:rPr>
      <w:sz w:val="20"/>
    </w:rPr>
  </w:style>
  <w:style w:type="character" w:customStyle="1" w:styleId="BriefkopfFett">
    <w:name w:val="Briefkopf_Fett"/>
    <w:basedOn w:val="Absatz-Standardschriftart"/>
    <w:uiPriority w:val="99"/>
    <w:semiHidden/>
    <w:qFormat/>
    <w:rsid w:val="00693B7A"/>
    <w:rPr>
      <w:b/>
    </w:rPr>
  </w:style>
  <w:style w:type="character" w:customStyle="1" w:styleId="BriefkopfSchreibenType">
    <w:name w:val="Briefkopf_SchreibenType"/>
    <w:basedOn w:val="Absatz-Standardschriftart"/>
    <w:uiPriority w:val="99"/>
    <w:semiHidden/>
    <w:rsid w:val="00693B7A"/>
  </w:style>
  <w:style w:type="paragraph" w:customStyle="1" w:styleId="BriefkopfGZInfo">
    <w:name w:val="Briefkopf_GZInfo"/>
    <w:basedOn w:val="BriefkopfSachbearbeiter"/>
    <w:link w:val="BriefkopfGZInfoZchn"/>
    <w:uiPriority w:val="99"/>
    <w:semiHidden/>
    <w:qFormat/>
    <w:rsid w:val="00693B7A"/>
    <w:pPr>
      <w:spacing w:line="200" w:lineRule="exact"/>
    </w:pPr>
    <w:rPr>
      <w:color w:val="7F7F7F" w:themeColor="text1" w:themeTint="80"/>
      <w:sz w:val="16"/>
    </w:rPr>
  </w:style>
  <w:style w:type="character" w:customStyle="1" w:styleId="BriefkopfGZInfoZchn">
    <w:name w:val="Briefkopf_GZInfo Zchn"/>
    <w:basedOn w:val="BriefkopfSachbearbeiterZchn"/>
    <w:link w:val="BriefkopfGZInfo"/>
    <w:uiPriority w:val="99"/>
    <w:semiHidden/>
    <w:rsid w:val="00693B7A"/>
    <w:rPr>
      <w:rFonts w:ascii="Arial" w:hAnsi="Arial"/>
      <w:color w:val="7F7F7F" w:themeColor="text1" w:themeTint="80"/>
      <w:sz w:val="16"/>
    </w:rPr>
  </w:style>
  <w:style w:type="paragraph" w:customStyle="1" w:styleId="BriefkopfInfoDatenschutz">
    <w:name w:val="Briefkopf_InfoDatenschutz"/>
    <w:basedOn w:val="BriefkopfGZInfo"/>
    <w:uiPriority w:val="99"/>
    <w:semiHidden/>
    <w:qFormat/>
    <w:rsid w:val="00693B7A"/>
    <w:pPr>
      <w:spacing w:before="120"/>
    </w:pPr>
  </w:style>
  <w:style w:type="paragraph" w:customStyle="1" w:styleId="Formatvorlageberschrift110PtZeilenabstandGenau15Pt">
    <w:name w:val="Formatvorlage Überschrift 1 + 10 Pt. Zeilenabstand:  Genau 15 Pt."/>
    <w:basedOn w:val="berschrift1"/>
    <w:rsid w:val="00693B7A"/>
    <w:pPr>
      <w:numPr>
        <w:numId w:val="20"/>
      </w:numPr>
      <w:spacing w:after="280" w:line="300" w:lineRule="exact"/>
      <w:ind w:left="357" w:hanging="357"/>
    </w:pPr>
    <w:rPr>
      <w:rFonts w:eastAsia="Times New Roman" w:cs="Times New Roman"/>
      <w:bCs/>
      <w:sz w:val="20"/>
      <w:szCs w:val="20"/>
    </w:rPr>
  </w:style>
  <w:style w:type="character" w:styleId="Platzhaltertext">
    <w:name w:val="Placeholder Text"/>
    <w:basedOn w:val="Absatz-Standardschriftart"/>
    <w:uiPriority w:val="99"/>
    <w:semiHidden/>
    <w:rsid w:val="00693B7A"/>
    <w:rPr>
      <w:color w:val="808080"/>
    </w:rPr>
  </w:style>
  <w:style w:type="paragraph" w:styleId="Sprechblasentext">
    <w:name w:val="Balloon Text"/>
    <w:basedOn w:val="Standard"/>
    <w:link w:val="SprechblasentextZchn"/>
    <w:uiPriority w:val="99"/>
    <w:semiHidden/>
    <w:unhideWhenUsed/>
    <w:rsid w:val="00693B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B7A"/>
    <w:rPr>
      <w:rFonts w:ascii="Segoe UI" w:hAnsi="Segoe UI" w:cs="Segoe UI"/>
      <w:sz w:val="18"/>
      <w:szCs w:val="18"/>
    </w:rPr>
  </w:style>
  <w:style w:type="paragraph" w:customStyle="1" w:styleId="Tabelleninhalt">
    <w:name w:val="Tabelleninhalt"/>
    <w:basedOn w:val="Standard"/>
    <w:qFormat/>
    <w:rsid w:val="00693B7A"/>
    <w:pPr>
      <w:spacing w:after="0"/>
    </w:pPr>
  </w:style>
  <w:style w:type="character" w:customStyle="1" w:styleId="berschrift5Zchn">
    <w:name w:val="Überschrift 5 Zchn"/>
    <w:basedOn w:val="Absatz-Standardschriftart"/>
    <w:link w:val="berschrift5"/>
    <w:uiPriority w:val="9"/>
    <w:semiHidden/>
    <w:rsid w:val="00982455"/>
    <w:rPr>
      <w:rFonts w:ascii="Arial" w:eastAsiaTheme="majorEastAsia" w:hAnsi="Arial" w:cstheme="majorBidi"/>
      <w:sz w:val="20"/>
    </w:rPr>
  </w:style>
  <w:style w:type="character" w:customStyle="1" w:styleId="berschrift6Zchn">
    <w:name w:val="Überschrift 6 Zchn"/>
    <w:basedOn w:val="Absatz-Standardschriftart"/>
    <w:link w:val="berschrift6"/>
    <w:uiPriority w:val="9"/>
    <w:semiHidden/>
    <w:rsid w:val="00982455"/>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9"/>
    <w:semiHidden/>
    <w:rsid w:val="00982455"/>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9"/>
    <w:semiHidden/>
    <w:rsid w:val="0098245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82455"/>
    <w:rPr>
      <w:rFonts w:asciiTheme="majorHAnsi" w:eastAsiaTheme="majorEastAsia" w:hAnsiTheme="majorHAnsi" w:cstheme="majorBidi"/>
      <w:i/>
      <w:iCs/>
      <w:color w:val="272727" w:themeColor="text1" w:themeTint="D8"/>
      <w:sz w:val="21"/>
      <w:szCs w:val="21"/>
    </w:rPr>
  </w:style>
  <w:style w:type="character" w:styleId="IntensiveHervorhebung">
    <w:name w:val="Intense Emphasis"/>
    <w:aliases w:val="Hinweise"/>
    <w:basedOn w:val="Absatz-Standardschriftart"/>
    <w:uiPriority w:val="21"/>
    <w:qFormat/>
    <w:rsid w:val="00982455"/>
    <w:rPr>
      <w:i/>
      <w:iCs/>
      <w:color w:val="4472C4" w:themeColor="accent1"/>
    </w:rPr>
  </w:style>
  <w:style w:type="paragraph" w:styleId="KeinLeerraum">
    <w:name w:val="No Spacing"/>
    <w:uiPriority w:val="1"/>
    <w:qFormat/>
    <w:rsid w:val="00267B9F"/>
    <w:pPr>
      <w:spacing w:after="0" w:line="240" w:lineRule="auto"/>
    </w:pPr>
    <w:rPr>
      <w:rFonts w:ascii="Arial" w:eastAsia="Calibri" w:hAnsi="Arial" w:cs="Arial"/>
    </w:rPr>
  </w:style>
  <w:style w:type="character" w:styleId="Funotenzeichen">
    <w:name w:val="footnote reference"/>
    <w:basedOn w:val="Absatz-Standardschriftart"/>
    <w:uiPriority w:val="99"/>
    <w:semiHidden/>
    <w:unhideWhenUsed/>
    <w:rsid w:val="00267B9F"/>
    <w:rPr>
      <w:vertAlign w:val="superscript"/>
    </w:rPr>
  </w:style>
  <w:style w:type="character" w:customStyle="1" w:styleId="markedcontent">
    <w:name w:val="markedcontent"/>
    <w:basedOn w:val="Absatz-Standardschriftart"/>
    <w:rsid w:val="0021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0A80-0DE6-4557-B40D-D563991A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2627</Words>
  <Characters>16551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LECHLEITNER Simon</dc:creator>
  <cp:keywords/>
  <dc:description/>
  <cp:lastModifiedBy>MAIR Tobias</cp:lastModifiedBy>
  <cp:revision>22</cp:revision>
  <cp:lastPrinted>2023-08-25T10:18:00Z</cp:lastPrinted>
  <dcterms:created xsi:type="dcterms:W3CDTF">2023-07-31T06:23:00Z</dcterms:created>
  <dcterms:modified xsi:type="dcterms:W3CDTF">2023-08-28T18:01:00Z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ies>
</file>